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B4" w:rsidRPr="00A507B5" w:rsidRDefault="00C742B4" w:rsidP="00C742B4">
      <w:pPr>
        <w:pStyle w:val="Nzev"/>
        <w:tabs>
          <w:tab w:val="left" w:pos="1468"/>
        </w:tabs>
        <w:jc w:val="both"/>
        <w:rPr>
          <w:i/>
          <w:sz w:val="36"/>
        </w:rPr>
      </w:pPr>
      <w:r w:rsidRPr="00A507B5">
        <w:rPr>
          <w:i/>
        </w:rPr>
        <w:object w:dxaOrig="17610"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15pt;height:46.3pt" o:ole="">
            <v:imagedata r:id="rId7" o:title=""/>
          </v:shape>
          <o:OLEObject Type="Embed" ProgID="MSPhotoEd.3" ShapeID="_x0000_i1025" DrawAspect="Content" ObjectID="_1370071410" r:id="rId8"/>
        </w:object>
      </w:r>
    </w:p>
    <w:p w:rsidR="00C742B4" w:rsidRPr="00A507B5" w:rsidRDefault="00C742B4" w:rsidP="00C742B4">
      <w:pPr>
        <w:pStyle w:val="Nzev"/>
        <w:tabs>
          <w:tab w:val="left" w:pos="1468"/>
        </w:tabs>
        <w:jc w:val="both"/>
        <w:rPr>
          <w:i/>
          <w:sz w:val="36"/>
        </w:rPr>
      </w:pPr>
    </w:p>
    <w:p w:rsidR="00C742B4" w:rsidRPr="00A507B5" w:rsidRDefault="00C742B4" w:rsidP="00C742B4">
      <w:pPr>
        <w:pStyle w:val="Nzev"/>
        <w:tabs>
          <w:tab w:val="left" w:pos="1468"/>
        </w:tabs>
        <w:jc w:val="both"/>
        <w:rPr>
          <w:i/>
          <w:sz w:val="36"/>
        </w:rPr>
      </w:pPr>
    </w:p>
    <w:p w:rsidR="00C742B4" w:rsidRPr="00A507B5" w:rsidRDefault="00C742B4" w:rsidP="00C742B4">
      <w:pPr>
        <w:pStyle w:val="Nzev"/>
        <w:tabs>
          <w:tab w:val="left" w:pos="1468"/>
        </w:tabs>
        <w:jc w:val="both"/>
        <w:rPr>
          <w:i/>
          <w:sz w:val="36"/>
        </w:rPr>
      </w:pPr>
    </w:p>
    <w:p w:rsidR="00C742B4" w:rsidRPr="00A507B5" w:rsidRDefault="00C742B4" w:rsidP="00C742B4">
      <w:pPr>
        <w:pStyle w:val="Nzev"/>
        <w:tabs>
          <w:tab w:val="left" w:pos="1468"/>
        </w:tabs>
        <w:jc w:val="both"/>
        <w:rPr>
          <w:i/>
          <w:sz w:val="36"/>
        </w:rPr>
      </w:pPr>
    </w:p>
    <w:p w:rsidR="00C742B4" w:rsidRPr="00A507B5" w:rsidRDefault="00C742B4" w:rsidP="00C742B4">
      <w:pPr>
        <w:pStyle w:val="Nzev"/>
        <w:tabs>
          <w:tab w:val="left" w:pos="1468"/>
        </w:tabs>
        <w:jc w:val="both"/>
        <w:rPr>
          <w:i/>
          <w:sz w:val="36"/>
        </w:rPr>
      </w:pPr>
    </w:p>
    <w:p w:rsidR="00C742B4" w:rsidRPr="00A507B5" w:rsidRDefault="00C742B4" w:rsidP="00C742B4">
      <w:pPr>
        <w:pStyle w:val="Nzev"/>
        <w:tabs>
          <w:tab w:val="left" w:pos="1468"/>
        </w:tabs>
        <w:jc w:val="both"/>
        <w:rPr>
          <w:i/>
          <w:sz w:val="36"/>
        </w:rPr>
      </w:pPr>
    </w:p>
    <w:p w:rsidR="00C742B4" w:rsidRPr="00A507B5" w:rsidRDefault="00C742B4" w:rsidP="00C742B4">
      <w:pPr>
        <w:pStyle w:val="Nzev"/>
        <w:tabs>
          <w:tab w:val="left" w:pos="1468"/>
        </w:tabs>
        <w:jc w:val="both"/>
        <w:rPr>
          <w:i/>
          <w:sz w:val="36"/>
        </w:rPr>
      </w:pPr>
    </w:p>
    <w:p w:rsidR="00C742B4" w:rsidRPr="00A507B5" w:rsidRDefault="00C742B4" w:rsidP="00C742B4">
      <w:pPr>
        <w:pStyle w:val="Nzev"/>
        <w:tabs>
          <w:tab w:val="left" w:pos="1468"/>
        </w:tabs>
        <w:jc w:val="both"/>
        <w:rPr>
          <w:i/>
          <w:sz w:val="36"/>
        </w:rPr>
      </w:pPr>
    </w:p>
    <w:p w:rsidR="00C742B4" w:rsidRPr="00A507B5" w:rsidRDefault="00C742B4" w:rsidP="00C742B4">
      <w:pPr>
        <w:pStyle w:val="Nzev"/>
        <w:tabs>
          <w:tab w:val="left" w:pos="1468"/>
        </w:tabs>
        <w:jc w:val="both"/>
        <w:rPr>
          <w:i/>
          <w:sz w:val="36"/>
        </w:rPr>
      </w:pPr>
    </w:p>
    <w:p w:rsidR="00C742B4" w:rsidRPr="00A507B5" w:rsidRDefault="00C742B4" w:rsidP="00C742B4">
      <w:pPr>
        <w:pStyle w:val="Nzev"/>
        <w:tabs>
          <w:tab w:val="left" w:pos="1468"/>
        </w:tabs>
        <w:jc w:val="both"/>
        <w:rPr>
          <w:i/>
          <w:sz w:val="36"/>
        </w:rPr>
      </w:pPr>
    </w:p>
    <w:p w:rsidR="00C742B4" w:rsidRPr="00A507B5" w:rsidRDefault="00C742B4" w:rsidP="00C742B4">
      <w:pPr>
        <w:pStyle w:val="Nzev"/>
        <w:tabs>
          <w:tab w:val="left" w:pos="1468"/>
        </w:tabs>
        <w:jc w:val="both"/>
        <w:rPr>
          <w:i/>
          <w:sz w:val="36"/>
        </w:rPr>
      </w:pPr>
    </w:p>
    <w:p w:rsidR="00C742B4" w:rsidRPr="00A507B5" w:rsidRDefault="00C742B4" w:rsidP="00C742B4">
      <w:pPr>
        <w:pStyle w:val="Nzev"/>
        <w:tabs>
          <w:tab w:val="left" w:pos="1468"/>
        </w:tabs>
        <w:rPr>
          <w:caps/>
          <w:color w:val="00B050"/>
          <w:sz w:val="32"/>
        </w:rPr>
      </w:pPr>
      <w:r w:rsidRPr="00A507B5">
        <w:rPr>
          <w:color w:val="00B050"/>
          <w:sz w:val="32"/>
        </w:rPr>
        <w:t>V</w:t>
      </w:r>
      <w:r w:rsidRPr="00A507B5">
        <w:rPr>
          <w:caps/>
          <w:color w:val="00B050"/>
          <w:sz w:val="32"/>
        </w:rPr>
        <w:t>ÝROČNÁ SPRÁVA</w:t>
      </w:r>
    </w:p>
    <w:p w:rsidR="00C742B4" w:rsidRPr="00A507B5" w:rsidRDefault="00C742B4" w:rsidP="00C742B4">
      <w:pPr>
        <w:pStyle w:val="Nzev"/>
        <w:tabs>
          <w:tab w:val="left" w:pos="1468"/>
        </w:tabs>
        <w:rPr>
          <w:caps/>
          <w:color w:val="00B050"/>
          <w:sz w:val="32"/>
        </w:rPr>
      </w:pPr>
      <w:r w:rsidRPr="00A507B5">
        <w:rPr>
          <w:caps/>
          <w:color w:val="00B050"/>
          <w:sz w:val="32"/>
        </w:rPr>
        <w:t>SLOVENSKEJ KONSOLIDAČNEJ, A. S.</w:t>
      </w:r>
    </w:p>
    <w:p w:rsidR="00C742B4" w:rsidRPr="00A507B5" w:rsidRDefault="00C742B4" w:rsidP="00C742B4">
      <w:pPr>
        <w:pStyle w:val="Nzev"/>
        <w:tabs>
          <w:tab w:val="left" w:pos="1468"/>
        </w:tabs>
        <w:rPr>
          <w:color w:val="00B050"/>
        </w:rPr>
      </w:pPr>
      <w:r w:rsidRPr="00A507B5">
        <w:rPr>
          <w:caps/>
          <w:color w:val="00B050"/>
          <w:sz w:val="32"/>
        </w:rPr>
        <w:t>ZA ROK 2010</w:t>
      </w:r>
    </w:p>
    <w:p w:rsidR="00C742B4" w:rsidRPr="00A507B5" w:rsidRDefault="00C742B4" w:rsidP="00C742B4">
      <w:pPr>
        <w:pStyle w:val="Nzev"/>
        <w:tabs>
          <w:tab w:val="left" w:pos="1468"/>
        </w:tabs>
      </w:pPr>
    </w:p>
    <w:p w:rsidR="00C742B4" w:rsidRPr="00A507B5" w:rsidRDefault="00C742B4" w:rsidP="00C742B4">
      <w:pPr>
        <w:pStyle w:val="Nzev"/>
        <w:tabs>
          <w:tab w:val="left" w:pos="1468"/>
        </w:tabs>
      </w:pPr>
    </w:p>
    <w:p w:rsidR="00C742B4" w:rsidRPr="00A507B5" w:rsidRDefault="00C742B4" w:rsidP="00C742B4">
      <w:pPr>
        <w:pStyle w:val="Nzev"/>
        <w:tabs>
          <w:tab w:val="left" w:pos="1468"/>
        </w:tabs>
        <w:jc w:val="both"/>
        <w:rPr>
          <w:i/>
        </w:rPr>
        <w:sectPr w:rsidR="00C742B4" w:rsidRPr="00A507B5">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09" w:footer="709" w:gutter="0"/>
          <w:pgNumType w:start="1"/>
          <w:cols w:space="708"/>
          <w:titlePg/>
          <w:docGrid w:linePitch="360"/>
        </w:sectPr>
      </w:pPr>
    </w:p>
    <w:p w:rsidR="00C742B4" w:rsidRPr="00A507B5" w:rsidRDefault="00C742B4" w:rsidP="00C742B4">
      <w:pPr>
        <w:pStyle w:val="Nzev"/>
        <w:tabs>
          <w:tab w:val="left" w:pos="1468"/>
        </w:tabs>
        <w:spacing w:line="360" w:lineRule="auto"/>
        <w:rPr>
          <w:color w:val="00B050"/>
          <w:sz w:val="28"/>
          <w:szCs w:val="28"/>
        </w:rPr>
      </w:pPr>
      <w:r w:rsidRPr="00A507B5">
        <w:rPr>
          <w:color w:val="00B050"/>
          <w:sz w:val="28"/>
          <w:szCs w:val="28"/>
        </w:rPr>
        <w:lastRenderedPageBreak/>
        <w:t>OBSAH</w:t>
      </w:r>
    </w:p>
    <w:p w:rsidR="00C742B4" w:rsidRPr="00A507B5" w:rsidRDefault="00C742B4" w:rsidP="00C742B4">
      <w:pPr>
        <w:pStyle w:val="Nzev"/>
        <w:tabs>
          <w:tab w:val="left" w:pos="1468"/>
        </w:tabs>
        <w:spacing w:line="360" w:lineRule="auto"/>
        <w:jc w:val="both"/>
        <w:rPr>
          <w:color w:val="00B050"/>
        </w:rPr>
      </w:pPr>
    </w:p>
    <w:p w:rsidR="00C742B4" w:rsidRPr="00A507B5" w:rsidRDefault="00C742B4" w:rsidP="00C742B4">
      <w:pPr>
        <w:pStyle w:val="Nzev"/>
        <w:tabs>
          <w:tab w:val="left" w:pos="1468"/>
        </w:tabs>
        <w:spacing w:line="360" w:lineRule="auto"/>
        <w:jc w:val="both"/>
        <w:rPr>
          <w:color w:val="00B050"/>
          <w:szCs w:val="24"/>
        </w:rPr>
      </w:pPr>
    </w:p>
    <w:p w:rsidR="00C742B4" w:rsidRPr="008F22F8" w:rsidRDefault="00F943FB" w:rsidP="00C742B4">
      <w:pPr>
        <w:pStyle w:val="Obsah1"/>
        <w:rPr>
          <w:rFonts w:ascii="Times New Roman" w:eastAsiaTheme="minorEastAsia" w:hAnsi="Times New Roman" w:cs="Times New Roman"/>
          <w:noProof/>
          <w:sz w:val="22"/>
          <w:szCs w:val="22"/>
          <w:lang w:eastAsia="sk-SK"/>
        </w:rPr>
      </w:pPr>
      <w:r w:rsidRPr="00F943FB">
        <w:rPr>
          <w:rFonts w:ascii="Times New Roman" w:hAnsi="Times New Roman" w:cs="Times New Roman"/>
          <w:b/>
          <w:color w:val="00B050"/>
          <w:sz w:val="28"/>
          <w:szCs w:val="28"/>
          <w:highlight w:val="yellow"/>
        </w:rPr>
        <w:fldChar w:fldCharType="begin"/>
      </w:r>
      <w:r w:rsidR="00C742B4" w:rsidRPr="008F22F8">
        <w:rPr>
          <w:rFonts w:ascii="Times New Roman" w:hAnsi="Times New Roman" w:cs="Times New Roman"/>
          <w:b/>
          <w:color w:val="00B050"/>
          <w:sz w:val="28"/>
          <w:szCs w:val="28"/>
          <w:highlight w:val="yellow"/>
        </w:rPr>
        <w:instrText xml:space="preserve"> TOC \o "1-4" \h \z \u </w:instrText>
      </w:r>
      <w:r w:rsidRPr="00F943FB">
        <w:rPr>
          <w:rFonts w:ascii="Times New Roman" w:hAnsi="Times New Roman" w:cs="Times New Roman"/>
          <w:b/>
          <w:color w:val="00B050"/>
          <w:sz w:val="28"/>
          <w:szCs w:val="28"/>
          <w:highlight w:val="yellow"/>
        </w:rPr>
        <w:fldChar w:fldCharType="separate"/>
      </w:r>
      <w:hyperlink w:anchor="_Toc289692059" w:history="1">
        <w:r w:rsidR="00C742B4" w:rsidRPr="008F22F8">
          <w:rPr>
            <w:rStyle w:val="Hypertextovodkaz"/>
            <w:rFonts w:ascii="Times New Roman" w:hAnsi="Times New Roman"/>
            <w:noProof/>
          </w:rPr>
          <w:t>Príhovor predsedu predstavenstva a generálneho riaditeľa</w:t>
        </w:r>
        <w:r w:rsidR="00C742B4" w:rsidRPr="008F22F8">
          <w:rPr>
            <w:rFonts w:ascii="Times New Roman" w:hAnsi="Times New Roman" w:cs="Times New Roman"/>
            <w:noProof/>
            <w:webHidden/>
          </w:rPr>
          <w:tab/>
        </w:r>
        <w:r w:rsidRPr="008F22F8">
          <w:rPr>
            <w:rFonts w:ascii="Times New Roman" w:hAnsi="Times New Roman" w:cs="Times New Roman"/>
            <w:noProof/>
            <w:webHidden/>
          </w:rPr>
          <w:fldChar w:fldCharType="begin"/>
        </w:r>
        <w:r w:rsidR="00C742B4" w:rsidRPr="008F22F8">
          <w:rPr>
            <w:rFonts w:ascii="Times New Roman" w:hAnsi="Times New Roman" w:cs="Times New Roman"/>
            <w:noProof/>
            <w:webHidden/>
          </w:rPr>
          <w:instrText xml:space="preserve"> PAGEREF _Toc289692059 \h </w:instrText>
        </w:r>
        <w:r w:rsidRPr="008F22F8">
          <w:rPr>
            <w:rFonts w:ascii="Times New Roman" w:hAnsi="Times New Roman" w:cs="Times New Roman"/>
            <w:noProof/>
            <w:webHidden/>
          </w:rPr>
        </w:r>
        <w:r w:rsidRPr="008F22F8">
          <w:rPr>
            <w:rFonts w:ascii="Times New Roman" w:hAnsi="Times New Roman" w:cs="Times New Roman"/>
            <w:noProof/>
            <w:webHidden/>
          </w:rPr>
          <w:fldChar w:fldCharType="separate"/>
        </w:r>
        <w:r w:rsidR="00C742B4">
          <w:rPr>
            <w:rFonts w:ascii="Times New Roman" w:hAnsi="Times New Roman" w:cs="Times New Roman"/>
            <w:noProof/>
            <w:webHidden/>
          </w:rPr>
          <w:t>1</w:t>
        </w:r>
        <w:r w:rsidRPr="008F22F8">
          <w:rPr>
            <w:rFonts w:ascii="Times New Roman" w:hAnsi="Times New Roman" w:cs="Times New Roman"/>
            <w:noProof/>
            <w:webHidden/>
          </w:rPr>
          <w:fldChar w:fldCharType="end"/>
        </w:r>
      </w:hyperlink>
    </w:p>
    <w:p w:rsidR="00C742B4" w:rsidRPr="008F22F8" w:rsidRDefault="00F943FB" w:rsidP="00C742B4">
      <w:pPr>
        <w:pStyle w:val="Obsah1"/>
        <w:rPr>
          <w:rFonts w:ascii="Times New Roman" w:eastAsiaTheme="minorEastAsia" w:hAnsi="Times New Roman" w:cs="Times New Roman"/>
          <w:noProof/>
          <w:sz w:val="22"/>
          <w:szCs w:val="22"/>
          <w:lang w:eastAsia="sk-SK"/>
        </w:rPr>
      </w:pPr>
      <w:hyperlink w:anchor="_Toc289692060" w:history="1">
        <w:r w:rsidR="00C742B4" w:rsidRPr="008F22F8">
          <w:rPr>
            <w:rStyle w:val="Hypertextovodkaz"/>
            <w:rFonts w:ascii="Times New Roman" w:hAnsi="Times New Roman"/>
            <w:noProof/>
          </w:rPr>
          <w:t>1. Základné informácie o spoločnosti</w:t>
        </w:r>
        <w:r w:rsidR="00C742B4" w:rsidRPr="008F22F8">
          <w:rPr>
            <w:rFonts w:ascii="Times New Roman" w:hAnsi="Times New Roman" w:cs="Times New Roman"/>
            <w:noProof/>
            <w:webHidden/>
          </w:rPr>
          <w:tab/>
        </w:r>
        <w:r w:rsidRPr="008F22F8">
          <w:rPr>
            <w:rFonts w:ascii="Times New Roman" w:hAnsi="Times New Roman" w:cs="Times New Roman"/>
            <w:noProof/>
            <w:webHidden/>
          </w:rPr>
          <w:fldChar w:fldCharType="begin"/>
        </w:r>
        <w:r w:rsidR="00C742B4" w:rsidRPr="008F22F8">
          <w:rPr>
            <w:rFonts w:ascii="Times New Roman" w:hAnsi="Times New Roman" w:cs="Times New Roman"/>
            <w:noProof/>
            <w:webHidden/>
          </w:rPr>
          <w:instrText xml:space="preserve"> PAGEREF _Toc289692060 \h </w:instrText>
        </w:r>
        <w:r w:rsidRPr="008F22F8">
          <w:rPr>
            <w:rFonts w:ascii="Times New Roman" w:hAnsi="Times New Roman" w:cs="Times New Roman"/>
            <w:noProof/>
            <w:webHidden/>
          </w:rPr>
        </w:r>
        <w:r w:rsidRPr="008F22F8">
          <w:rPr>
            <w:rFonts w:ascii="Times New Roman" w:hAnsi="Times New Roman" w:cs="Times New Roman"/>
            <w:noProof/>
            <w:webHidden/>
          </w:rPr>
          <w:fldChar w:fldCharType="separate"/>
        </w:r>
        <w:r w:rsidR="00C742B4">
          <w:rPr>
            <w:rFonts w:ascii="Times New Roman" w:hAnsi="Times New Roman" w:cs="Times New Roman"/>
            <w:noProof/>
            <w:webHidden/>
          </w:rPr>
          <w:t>2</w:t>
        </w:r>
        <w:r w:rsidRPr="008F22F8">
          <w:rPr>
            <w:rFonts w:ascii="Times New Roman" w:hAnsi="Times New Roman" w:cs="Times New Roman"/>
            <w:noProof/>
            <w:webHidden/>
          </w:rPr>
          <w:fldChar w:fldCharType="end"/>
        </w:r>
      </w:hyperlink>
    </w:p>
    <w:p w:rsidR="00C742B4" w:rsidRPr="008F22F8" w:rsidRDefault="00F943FB" w:rsidP="00C742B4">
      <w:pPr>
        <w:pStyle w:val="Obsah1"/>
        <w:rPr>
          <w:rFonts w:ascii="Times New Roman" w:eastAsiaTheme="minorEastAsia" w:hAnsi="Times New Roman" w:cs="Times New Roman"/>
          <w:noProof/>
          <w:sz w:val="22"/>
          <w:szCs w:val="22"/>
          <w:lang w:eastAsia="sk-SK"/>
        </w:rPr>
      </w:pPr>
      <w:hyperlink w:anchor="_Toc289692061" w:history="1">
        <w:r w:rsidR="00C742B4" w:rsidRPr="008F22F8">
          <w:rPr>
            <w:rStyle w:val="Hypertextovodkaz"/>
            <w:rFonts w:ascii="Times New Roman" w:hAnsi="Times New Roman"/>
            <w:noProof/>
          </w:rPr>
          <w:t>2. Charakteristika činnosti spoločnosti v roku 2010</w:t>
        </w:r>
        <w:r w:rsidR="00C742B4" w:rsidRPr="008F22F8">
          <w:rPr>
            <w:rFonts w:ascii="Times New Roman" w:hAnsi="Times New Roman" w:cs="Times New Roman"/>
            <w:noProof/>
            <w:webHidden/>
          </w:rPr>
          <w:tab/>
        </w:r>
        <w:r w:rsidRPr="008F22F8">
          <w:rPr>
            <w:rFonts w:ascii="Times New Roman" w:hAnsi="Times New Roman" w:cs="Times New Roman"/>
            <w:noProof/>
            <w:webHidden/>
          </w:rPr>
          <w:fldChar w:fldCharType="begin"/>
        </w:r>
        <w:r w:rsidR="00C742B4" w:rsidRPr="008F22F8">
          <w:rPr>
            <w:rFonts w:ascii="Times New Roman" w:hAnsi="Times New Roman" w:cs="Times New Roman"/>
            <w:noProof/>
            <w:webHidden/>
          </w:rPr>
          <w:instrText xml:space="preserve"> PAGEREF _Toc289692061 \h </w:instrText>
        </w:r>
        <w:r w:rsidRPr="008F22F8">
          <w:rPr>
            <w:rFonts w:ascii="Times New Roman" w:hAnsi="Times New Roman" w:cs="Times New Roman"/>
            <w:noProof/>
            <w:webHidden/>
          </w:rPr>
        </w:r>
        <w:r w:rsidRPr="008F22F8">
          <w:rPr>
            <w:rFonts w:ascii="Times New Roman" w:hAnsi="Times New Roman" w:cs="Times New Roman"/>
            <w:noProof/>
            <w:webHidden/>
          </w:rPr>
          <w:fldChar w:fldCharType="separate"/>
        </w:r>
        <w:r w:rsidR="00C742B4">
          <w:rPr>
            <w:rFonts w:ascii="Times New Roman" w:hAnsi="Times New Roman" w:cs="Times New Roman"/>
            <w:noProof/>
            <w:webHidden/>
          </w:rPr>
          <w:t>2</w:t>
        </w:r>
        <w:r w:rsidRPr="008F22F8">
          <w:rPr>
            <w:rFonts w:ascii="Times New Roman" w:hAnsi="Times New Roman" w:cs="Times New Roman"/>
            <w:noProof/>
            <w:webHidden/>
          </w:rPr>
          <w:fldChar w:fldCharType="end"/>
        </w:r>
      </w:hyperlink>
    </w:p>
    <w:p w:rsidR="00C742B4" w:rsidRPr="008F22F8" w:rsidRDefault="00F943FB" w:rsidP="00C742B4">
      <w:pPr>
        <w:pStyle w:val="Obsah1"/>
        <w:rPr>
          <w:rFonts w:ascii="Times New Roman" w:eastAsiaTheme="minorEastAsia" w:hAnsi="Times New Roman" w:cs="Times New Roman"/>
          <w:noProof/>
          <w:sz w:val="22"/>
          <w:szCs w:val="22"/>
          <w:lang w:eastAsia="sk-SK"/>
        </w:rPr>
      </w:pPr>
      <w:hyperlink w:anchor="_Toc289692062" w:history="1">
        <w:r w:rsidR="00C742B4" w:rsidRPr="008F22F8">
          <w:rPr>
            <w:rStyle w:val="Hypertextovodkaz"/>
            <w:rFonts w:ascii="Times New Roman" w:hAnsi="Times New Roman"/>
            <w:noProof/>
          </w:rPr>
          <w:t>3. Výsledky hospodárenia v roku 2010</w:t>
        </w:r>
        <w:r w:rsidR="00C742B4" w:rsidRPr="008F22F8">
          <w:rPr>
            <w:rFonts w:ascii="Times New Roman" w:hAnsi="Times New Roman" w:cs="Times New Roman"/>
            <w:noProof/>
            <w:webHidden/>
          </w:rPr>
          <w:tab/>
        </w:r>
        <w:r w:rsidRPr="008F22F8">
          <w:rPr>
            <w:rFonts w:ascii="Times New Roman" w:hAnsi="Times New Roman" w:cs="Times New Roman"/>
            <w:noProof/>
            <w:webHidden/>
          </w:rPr>
          <w:fldChar w:fldCharType="begin"/>
        </w:r>
        <w:r w:rsidR="00C742B4" w:rsidRPr="008F22F8">
          <w:rPr>
            <w:rFonts w:ascii="Times New Roman" w:hAnsi="Times New Roman" w:cs="Times New Roman"/>
            <w:noProof/>
            <w:webHidden/>
          </w:rPr>
          <w:instrText xml:space="preserve"> PAGEREF _Toc289692062 \h </w:instrText>
        </w:r>
        <w:r w:rsidRPr="008F22F8">
          <w:rPr>
            <w:rFonts w:ascii="Times New Roman" w:hAnsi="Times New Roman" w:cs="Times New Roman"/>
            <w:noProof/>
            <w:webHidden/>
          </w:rPr>
        </w:r>
        <w:r w:rsidRPr="008F22F8">
          <w:rPr>
            <w:rFonts w:ascii="Times New Roman" w:hAnsi="Times New Roman" w:cs="Times New Roman"/>
            <w:noProof/>
            <w:webHidden/>
          </w:rPr>
          <w:fldChar w:fldCharType="separate"/>
        </w:r>
        <w:r w:rsidR="00C742B4">
          <w:rPr>
            <w:rFonts w:ascii="Times New Roman" w:hAnsi="Times New Roman" w:cs="Times New Roman"/>
            <w:noProof/>
            <w:webHidden/>
          </w:rPr>
          <w:t>3</w:t>
        </w:r>
        <w:r w:rsidRPr="008F22F8">
          <w:rPr>
            <w:rFonts w:ascii="Times New Roman" w:hAnsi="Times New Roman" w:cs="Times New Roman"/>
            <w:noProof/>
            <w:webHidden/>
          </w:rPr>
          <w:fldChar w:fldCharType="end"/>
        </w:r>
      </w:hyperlink>
    </w:p>
    <w:p w:rsidR="00C742B4" w:rsidRPr="008F22F8" w:rsidRDefault="00F943FB" w:rsidP="00C742B4">
      <w:pPr>
        <w:pStyle w:val="Obsah1"/>
        <w:rPr>
          <w:rFonts w:ascii="Times New Roman" w:eastAsiaTheme="minorEastAsia" w:hAnsi="Times New Roman" w:cs="Times New Roman"/>
          <w:noProof/>
          <w:sz w:val="22"/>
          <w:szCs w:val="22"/>
          <w:lang w:eastAsia="sk-SK"/>
        </w:rPr>
      </w:pPr>
      <w:hyperlink w:anchor="_Toc289692063" w:history="1">
        <w:r w:rsidR="00C742B4" w:rsidRPr="008F22F8">
          <w:rPr>
            <w:rStyle w:val="Hypertextovodkaz"/>
            <w:rFonts w:ascii="Times New Roman" w:hAnsi="Times New Roman"/>
            <w:noProof/>
          </w:rPr>
          <w:t>3.1 Analýza hospodárenia spoločnosti a hospodársky výsledok</w:t>
        </w:r>
        <w:r w:rsidR="00C742B4" w:rsidRPr="008F22F8">
          <w:rPr>
            <w:rFonts w:ascii="Times New Roman" w:hAnsi="Times New Roman" w:cs="Times New Roman"/>
            <w:noProof/>
            <w:webHidden/>
          </w:rPr>
          <w:tab/>
        </w:r>
        <w:r w:rsidRPr="008F22F8">
          <w:rPr>
            <w:rFonts w:ascii="Times New Roman" w:hAnsi="Times New Roman" w:cs="Times New Roman"/>
            <w:noProof/>
            <w:webHidden/>
          </w:rPr>
          <w:fldChar w:fldCharType="begin"/>
        </w:r>
        <w:r w:rsidR="00C742B4" w:rsidRPr="008F22F8">
          <w:rPr>
            <w:rFonts w:ascii="Times New Roman" w:hAnsi="Times New Roman" w:cs="Times New Roman"/>
            <w:noProof/>
            <w:webHidden/>
          </w:rPr>
          <w:instrText xml:space="preserve"> PAGEREF _Toc289692063 \h </w:instrText>
        </w:r>
        <w:r w:rsidRPr="008F22F8">
          <w:rPr>
            <w:rFonts w:ascii="Times New Roman" w:hAnsi="Times New Roman" w:cs="Times New Roman"/>
            <w:noProof/>
            <w:webHidden/>
          </w:rPr>
        </w:r>
        <w:r w:rsidRPr="008F22F8">
          <w:rPr>
            <w:rFonts w:ascii="Times New Roman" w:hAnsi="Times New Roman" w:cs="Times New Roman"/>
            <w:noProof/>
            <w:webHidden/>
          </w:rPr>
          <w:fldChar w:fldCharType="separate"/>
        </w:r>
        <w:r w:rsidR="00C742B4">
          <w:rPr>
            <w:rFonts w:ascii="Times New Roman" w:hAnsi="Times New Roman" w:cs="Times New Roman"/>
            <w:noProof/>
            <w:webHidden/>
          </w:rPr>
          <w:t>4</w:t>
        </w:r>
        <w:r w:rsidRPr="008F22F8">
          <w:rPr>
            <w:rFonts w:ascii="Times New Roman" w:hAnsi="Times New Roman" w:cs="Times New Roman"/>
            <w:noProof/>
            <w:webHidden/>
          </w:rPr>
          <w:fldChar w:fldCharType="end"/>
        </w:r>
      </w:hyperlink>
    </w:p>
    <w:p w:rsidR="00C742B4" w:rsidRPr="008F22F8" w:rsidRDefault="00F943FB" w:rsidP="00C742B4">
      <w:pPr>
        <w:pStyle w:val="Obsah1"/>
        <w:rPr>
          <w:rFonts w:ascii="Times New Roman" w:eastAsiaTheme="minorEastAsia" w:hAnsi="Times New Roman" w:cs="Times New Roman"/>
          <w:noProof/>
          <w:sz w:val="22"/>
          <w:szCs w:val="22"/>
          <w:lang w:eastAsia="sk-SK"/>
        </w:rPr>
      </w:pPr>
      <w:hyperlink w:anchor="_Toc289692064" w:history="1">
        <w:r w:rsidR="00C742B4" w:rsidRPr="008F22F8">
          <w:rPr>
            <w:rStyle w:val="Hypertextovodkaz"/>
            <w:rFonts w:ascii="Times New Roman" w:hAnsi="Times New Roman"/>
            <w:noProof/>
          </w:rPr>
          <w:t>3.2 Štruktúra majetku a zdroje jeho krytia</w:t>
        </w:r>
        <w:r w:rsidR="00C742B4" w:rsidRPr="008F22F8">
          <w:rPr>
            <w:rFonts w:ascii="Times New Roman" w:hAnsi="Times New Roman" w:cs="Times New Roman"/>
            <w:noProof/>
            <w:webHidden/>
          </w:rPr>
          <w:tab/>
        </w:r>
        <w:r w:rsidRPr="008F22F8">
          <w:rPr>
            <w:rFonts w:ascii="Times New Roman" w:hAnsi="Times New Roman" w:cs="Times New Roman"/>
            <w:noProof/>
            <w:webHidden/>
          </w:rPr>
          <w:fldChar w:fldCharType="begin"/>
        </w:r>
        <w:r w:rsidR="00C742B4" w:rsidRPr="008F22F8">
          <w:rPr>
            <w:rFonts w:ascii="Times New Roman" w:hAnsi="Times New Roman" w:cs="Times New Roman"/>
            <w:noProof/>
            <w:webHidden/>
          </w:rPr>
          <w:instrText xml:space="preserve"> PAGEREF _Toc289692064 \h </w:instrText>
        </w:r>
        <w:r w:rsidRPr="008F22F8">
          <w:rPr>
            <w:rFonts w:ascii="Times New Roman" w:hAnsi="Times New Roman" w:cs="Times New Roman"/>
            <w:noProof/>
            <w:webHidden/>
          </w:rPr>
        </w:r>
        <w:r w:rsidRPr="008F22F8">
          <w:rPr>
            <w:rFonts w:ascii="Times New Roman" w:hAnsi="Times New Roman" w:cs="Times New Roman"/>
            <w:noProof/>
            <w:webHidden/>
          </w:rPr>
          <w:fldChar w:fldCharType="separate"/>
        </w:r>
        <w:r w:rsidR="00C742B4">
          <w:rPr>
            <w:rFonts w:ascii="Times New Roman" w:hAnsi="Times New Roman" w:cs="Times New Roman"/>
            <w:noProof/>
            <w:webHidden/>
          </w:rPr>
          <w:t>6</w:t>
        </w:r>
        <w:r w:rsidRPr="008F22F8">
          <w:rPr>
            <w:rFonts w:ascii="Times New Roman" w:hAnsi="Times New Roman" w:cs="Times New Roman"/>
            <w:noProof/>
            <w:webHidden/>
          </w:rPr>
          <w:fldChar w:fldCharType="end"/>
        </w:r>
      </w:hyperlink>
    </w:p>
    <w:p w:rsidR="00C742B4" w:rsidRPr="008F22F8" w:rsidRDefault="00F943FB" w:rsidP="00C742B4">
      <w:pPr>
        <w:pStyle w:val="Obsah1"/>
        <w:rPr>
          <w:rFonts w:ascii="Times New Roman" w:eastAsiaTheme="minorEastAsia" w:hAnsi="Times New Roman" w:cs="Times New Roman"/>
          <w:noProof/>
          <w:sz w:val="22"/>
          <w:szCs w:val="22"/>
          <w:lang w:eastAsia="sk-SK"/>
        </w:rPr>
      </w:pPr>
      <w:hyperlink w:anchor="_Toc289692065" w:history="1">
        <w:r w:rsidR="00C742B4" w:rsidRPr="008F22F8">
          <w:rPr>
            <w:rStyle w:val="Hypertextovodkaz"/>
            <w:rFonts w:ascii="Times New Roman" w:hAnsi="Times New Roman"/>
            <w:noProof/>
          </w:rPr>
          <w:t>3.3 Prehľad peňažných tokov (CASH-FLOW)</w:t>
        </w:r>
        <w:r w:rsidR="00C742B4" w:rsidRPr="008F22F8">
          <w:rPr>
            <w:rFonts w:ascii="Times New Roman" w:hAnsi="Times New Roman" w:cs="Times New Roman"/>
            <w:noProof/>
            <w:webHidden/>
          </w:rPr>
          <w:tab/>
        </w:r>
        <w:r w:rsidRPr="008F22F8">
          <w:rPr>
            <w:rFonts w:ascii="Times New Roman" w:hAnsi="Times New Roman" w:cs="Times New Roman"/>
            <w:noProof/>
            <w:webHidden/>
          </w:rPr>
          <w:fldChar w:fldCharType="begin"/>
        </w:r>
        <w:r w:rsidR="00C742B4" w:rsidRPr="008F22F8">
          <w:rPr>
            <w:rFonts w:ascii="Times New Roman" w:hAnsi="Times New Roman" w:cs="Times New Roman"/>
            <w:noProof/>
            <w:webHidden/>
          </w:rPr>
          <w:instrText xml:space="preserve"> PAGEREF _Toc289692065 \h </w:instrText>
        </w:r>
        <w:r w:rsidRPr="008F22F8">
          <w:rPr>
            <w:rFonts w:ascii="Times New Roman" w:hAnsi="Times New Roman" w:cs="Times New Roman"/>
            <w:noProof/>
            <w:webHidden/>
          </w:rPr>
        </w:r>
        <w:r w:rsidRPr="008F22F8">
          <w:rPr>
            <w:rFonts w:ascii="Times New Roman" w:hAnsi="Times New Roman" w:cs="Times New Roman"/>
            <w:noProof/>
            <w:webHidden/>
          </w:rPr>
          <w:fldChar w:fldCharType="separate"/>
        </w:r>
        <w:r w:rsidR="00C742B4">
          <w:rPr>
            <w:rFonts w:ascii="Times New Roman" w:hAnsi="Times New Roman" w:cs="Times New Roman"/>
            <w:noProof/>
            <w:webHidden/>
          </w:rPr>
          <w:t>7</w:t>
        </w:r>
        <w:r w:rsidRPr="008F22F8">
          <w:rPr>
            <w:rFonts w:ascii="Times New Roman" w:hAnsi="Times New Roman" w:cs="Times New Roman"/>
            <w:noProof/>
            <w:webHidden/>
          </w:rPr>
          <w:fldChar w:fldCharType="end"/>
        </w:r>
      </w:hyperlink>
    </w:p>
    <w:p w:rsidR="00C742B4" w:rsidRPr="008F22F8" w:rsidRDefault="00F943FB" w:rsidP="00C742B4">
      <w:pPr>
        <w:pStyle w:val="Obsah1"/>
        <w:rPr>
          <w:rFonts w:ascii="Times New Roman" w:eastAsiaTheme="minorEastAsia" w:hAnsi="Times New Roman" w:cs="Times New Roman"/>
          <w:noProof/>
          <w:sz w:val="22"/>
          <w:szCs w:val="22"/>
          <w:lang w:eastAsia="sk-SK"/>
        </w:rPr>
      </w:pPr>
      <w:hyperlink w:anchor="_Toc289692066" w:history="1">
        <w:r w:rsidR="00C742B4" w:rsidRPr="008F22F8">
          <w:rPr>
            <w:rStyle w:val="Hypertextovodkaz"/>
            <w:rFonts w:ascii="Times New Roman" w:hAnsi="Times New Roman"/>
            <w:noProof/>
          </w:rPr>
          <w:t>3.4 Finančné investície a krátkodobé cenné papiere</w:t>
        </w:r>
        <w:r w:rsidR="00C742B4" w:rsidRPr="008F22F8">
          <w:rPr>
            <w:rFonts w:ascii="Times New Roman" w:hAnsi="Times New Roman" w:cs="Times New Roman"/>
            <w:noProof/>
            <w:webHidden/>
          </w:rPr>
          <w:tab/>
        </w:r>
        <w:r w:rsidRPr="008F22F8">
          <w:rPr>
            <w:rFonts w:ascii="Times New Roman" w:hAnsi="Times New Roman" w:cs="Times New Roman"/>
            <w:noProof/>
            <w:webHidden/>
          </w:rPr>
          <w:fldChar w:fldCharType="begin"/>
        </w:r>
        <w:r w:rsidR="00C742B4" w:rsidRPr="008F22F8">
          <w:rPr>
            <w:rFonts w:ascii="Times New Roman" w:hAnsi="Times New Roman" w:cs="Times New Roman"/>
            <w:noProof/>
            <w:webHidden/>
          </w:rPr>
          <w:instrText xml:space="preserve"> PAGEREF _Toc289692066 \h </w:instrText>
        </w:r>
        <w:r w:rsidRPr="008F22F8">
          <w:rPr>
            <w:rFonts w:ascii="Times New Roman" w:hAnsi="Times New Roman" w:cs="Times New Roman"/>
            <w:noProof/>
            <w:webHidden/>
          </w:rPr>
        </w:r>
        <w:r w:rsidRPr="008F22F8">
          <w:rPr>
            <w:rFonts w:ascii="Times New Roman" w:hAnsi="Times New Roman" w:cs="Times New Roman"/>
            <w:noProof/>
            <w:webHidden/>
          </w:rPr>
          <w:fldChar w:fldCharType="separate"/>
        </w:r>
        <w:r w:rsidR="00C742B4">
          <w:rPr>
            <w:rFonts w:ascii="Times New Roman" w:hAnsi="Times New Roman" w:cs="Times New Roman"/>
            <w:noProof/>
            <w:webHidden/>
          </w:rPr>
          <w:t>7</w:t>
        </w:r>
        <w:r w:rsidRPr="008F22F8">
          <w:rPr>
            <w:rFonts w:ascii="Times New Roman" w:hAnsi="Times New Roman" w:cs="Times New Roman"/>
            <w:noProof/>
            <w:webHidden/>
          </w:rPr>
          <w:fldChar w:fldCharType="end"/>
        </w:r>
      </w:hyperlink>
    </w:p>
    <w:p w:rsidR="00C742B4" w:rsidRPr="008F22F8" w:rsidRDefault="00F943FB" w:rsidP="00C742B4">
      <w:pPr>
        <w:pStyle w:val="Obsah1"/>
        <w:rPr>
          <w:rFonts w:ascii="Times New Roman" w:eastAsiaTheme="minorEastAsia" w:hAnsi="Times New Roman" w:cs="Times New Roman"/>
          <w:noProof/>
          <w:sz w:val="22"/>
          <w:szCs w:val="22"/>
          <w:lang w:eastAsia="sk-SK"/>
        </w:rPr>
      </w:pPr>
      <w:hyperlink w:anchor="_Toc289692067" w:history="1">
        <w:r w:rsidR="00C742B4" w:rsidRPr="008F22F8">
          <w:rPr>
            <w:rStyle w:val="Hypertextovodkaz"/>
            <w:rFonts w:ascii="Times New Roman" w:hAnsi="Times New Roman"/>
            <w:noProof/>
          </w:rPr>
          <w:t>3.5 Údaje o skutočnostiach, ktoré nastali medzi dňom, ku ktorému sa zostavuje účtovná závierka a dňom jej zostavenia</w:t>
        </w:r>
        <w:r w:rsidR="00C742B4" w:rsidRPr="008F22F8">
          <w:rPr>
            <w:rFonts w:ascii="Times New Roman" w:hAnsi="Times New Roman" w:cs="Times New Roman"/>
            <w:noProof/>
            <w:webHidden/>
          </w:rPr>
          <w:tab/>
        </w:r>
        <w:r w:rsidRPr="008F22F8">
          <w:rPr>
            <w:rFonts w:ascii="Times New Roman" w:hAnsi="Times New Roman" w:cs="Times New Roman"/>
            <w:noProof/>
            <w:webHidden/>
          </w:rPr>
          <w:fldChar w:fldCharType="begin"/>
        </w:r>
        <w:r w:rsidR="00C742B4" w:rsidRPr="008F22F8">
          <w:rPr>
            <w:rFonts w:ascii="Times New Roman" w:hAnsi="Times New Roman" w:cs="Times New Roman"/>
            <w:noProof/>
            <w:webHidden/>
          </w:rPr>
          <w:instrText xml:space="preserve"> PAGEREF _Toc289692067 \h </w:instrText>
        </w:r>
        <w:r w:rsidRPr="008F22F8">
          <w:rPr>
            <w:rFonts w:ascii="Times New Roman" w:hAnsi="Times New Roman" w:cs="Times New Roman"/>
            <w:noProof/>
            <w:webHidden/>
          </w:rPr>
        </w:r>
        <w:r w:rsidRPr="008F22F8">
          <w:rPr>
            <w:rFonts w:ascii="Times New Roman" w:hAnsi="Times New Roman" w:cs="Times New Roman"/>
            <w:noProof/>
            <w:webHidden/>
          </w:rPr>
          <w:fldChar w:fldCharType="separate"/>
        </w:r>
        <w:r w:rsidR="00C742B4">
          <w:rPr>
            <w:rFonts w:ascii="Times New Roman" w:hAnsi="Times New Roman" w:cs="Times New Roman"/>
            <w:noProof/>
            <w:webHidden/>
          </w:rPr>
          <w:t>8</w:t>
        </w:r>
        <w:r w:rsidRPr="008F22F8">
          <w:rPr>
            <w:rFonts w:ascii="Times New Roman" w:hAnsi="Times New Roman" w:cs="Times New Roman"/>
            <w:noProof/>
            <w:webHidden/>
          </w:rPr>
          <w:fldChar w:fldCharType="end"/>
        </w:r>
      </w:hyperlink>
    </w:p>
    <w:p w:rsidR="00C742B4" w:rsidRPr="008F22F8" w:rsidRDefault="00F943FB" w:rsidP="00C742B4">
      <w:pPr>
        <w:pStyle w:val="Obsah1"/>
        <w:rPr>
          <w:rFonts w:ascii="Times New Roman" w:eastAsiaTheme="minorEastAsia" w:hAnsi="Times New Roman" w:cs="Times New Roman"/>
          <w:noProof/>
          <w:sz w:val="22"/>
          <w:szCs w:val="22"/>
          <w:lang w:eastAsia="sk-SK"/>
        </w:rPr>
      </w:pPr>
      <w:hyperlink w:anchor="_Toc289692068" w:history="1">
        <w:r w:rsidR="00C742B4" w:rsidRPr="008F22F8">
          <w:rPr>
            <w:rStyle w:val="Hypertextovodkaz"/>
            <w:rFonts w:ascii="Times New Roman" w:hAnsi="Times New Roman"/>
            <w:noProof/>
          </w:rPr>
          <w:t>4. Systém vnútornej kontroly v SK, a.s.</w:t>
        </w:r>
        <w:r w:rsidR="00C742B4" w:rsidRPr="008F22F8">
          <w:rPr>
            <w:rFonts w:ascii="Times New Roman" w:hAnsi="Times New Roman" w:cs="Times New Roman"/>
            <w:noProof/>
            <w:webHidden/>
          </w:rPr>
          <w:tab/>
        </w:r>
        <w:r w:rsidRPr="008F22F8">
          <w:rPr>
            <w:rFonts w:ascii="Times New Roman" w:hAnsi="Times New Roman" w:cs="Times New Roman"/>
            <w:noProof/>
            <w:webHidden/>
          </w:rPr>
          <w:fldChar w:fldCharType="begin"/>
        </w:r>
        <w:r w:rsidR="00C742B4" w:rsidRPr="008F22F8">
          <w:rPr>
            <w:rFonts w:ascii="Times New Roman" w:hAnsi="Times New Roman" w:cs="Times New Roman"/>
            <w:noProof/>
            <w:webHidden/>
          </w:rPr>
          <w:instrText xml:space="preserve"> PAGEREF _Toc289692068 \h </w:instrText>
        </w:r>
        <w:r w:rsidRPr="008F22F8">
          <w:rPr>
            <w:rFonts w:ascii="Times New Roman" w:hAnsi="Times New Roman" w:cs="Times New Roman"/>
            <w:noProof/>
            <w:webHidden/>
          </w:rPr>
        </w:r>
        <w:r w:rsidRPr="008F22F8">
          <w:rPr>
            <w:rFonts w:ascii="Times New Roman" w:hAnsi="Times New Roman" w:cs="Times New Roman"/>
            <w:noProof/>
            <w:webHidden/>
          </w:rPr>
          <w:fldChar w:fldCharType="separate"/>
        </w:r>
        <w:r w:rsidR="00C742B4">
          <w:rPr>
            <w:rFonts w:ascii="Times New Roman" w:hAnsi="Times New Roman" w:cs="Times New Roman"/>
            <w:noProof/>
            <w:webHidden/>
          </w:rPr>
          <w:t>8</w:t>
        </w:r>
        <w:r w:rsidRPr="008F22F8">
          <w:rPr>
            <w:rFonts w:ascii="Times New Roman" w:hAnsi="Times New Roman" w:cs="Times New Roman"/>
            <w:noProof/>
            <w:webHidden/>
          </w:rPr>
          <w:fldChar w:fldCharType="end"/>
        </w:r>
      </w:hyperlink>
    </w:p>
    <w:p w:rsidR="00C742B4" w:rsidRPr="008F22F8" w:rsidRDefault="00F943FB" w:rsidP="00C742B4">
      <w:pPr>
        <w:pStyle w:val="Obsah1"/>
        <w:rPr>
          <w:rFonts w:ascii="Times New Roman" w:eastAsiaTheme="minorEastAsia" w:hAnsi="Times New Roman" w:cs="Times New Roman"/>
          <w:noProof/>
          <w:sz w:val="22"/>
          <w:szCs w:val="22"/>
          <w:lang w:eastAsia="sk-SK"/>
        </w:rPr>
      </w:pPr>
      <w:hyperlink w:anchor="_Toc289692069" w:history="1">
        <w:r w:rsidR="00C742B4" w:rsidRPr="008F22F8">
          <w:rPr>
            <w:rStyle w:val="Hypertextovodkaz"/>
            <w:rFonts w:ascii="Times New Roman" w:hAnsi="Times New Roman"/>
            <w:noProof/>
          </w:rPr>
          <w:t>5. Zloženie orgánov spoločnosti</w:t>
        </w:r>
        <w:r w:rsidR="00C742B4" w:rsidRPr="008F22F8">
          <w:rPr>
            <w:rFonts w:ascii="Times New Roman" w:hAnsi="Times New Roman" w:cs="Times New Roman"/>
            <w:noProof/>
            <w:webHidden/>
          </w:rPr>
          <w:tab/>
        </w:r>
        <w:r w:rsidRPr="008F22F8">
          <w:rPr>
            <w:rFonts w:ascii="Times New Roman" w:hAnsi="Times New Roman" w:cs="Times New Roman"/>
            <w:noProof/>
            <w:webHidden/>
          </w:rPr>
          <w:fldChar w:fldCharType="begin"/>
        </w:r>
        <w:r w:rsidR="00C742B4" w:rsidRPr="008F22F8">
          <w:rPr>
            <w:rFonts w:ascii="Times New Roman" w:hAnsi="Times New Roman" w:cs="Times New Roman"/>
            <w:noProof/>
            <w:webHidden/>
          </w:rPr>
          <w:instrText xml:space="preserve"> PAGEREF _Toc289692069 \h </w:instrText>
        </w:r>
        <w:r w:rsidRPr="008F22F8">
          <w:rPr>
            <w:rFonts w:ascii="Times New Roman" w:hAnsi="Times New Roman" w:cs="Times New Roman"/>
            <w:noProof/>
            <w:webHidden/>
          </w:rPr>
        </w:r>
        <w:r w:rsidRPr="008F22F8">
          <w:rPr>
            <w:rFonts w:ascii="Times New Roman" w:hAnsi="Times New Roman" w:cs="Times New Roman"/>
            <w:noProof/>
            <w:webHidden/>
          </w:rPr>
          <w:fldChar w:fldCharType="separate"/>
        </w:r>
        <w:r w:rsidR="00C742B4">
          <w:rPr>
            <w:rFonts w:ascii="Times New Roman" w:hAnsi="Times New Roman" w:cs="Times New Roman"/>
            <w:noProof/>
            <w:webHidden/>
          </w:rPr>
          <w:t>10</w:t>
        </w:r>
        <w:r w:rsidRPr="008F22F8">
          <w:rPr>
            <w:rFonts w:ascii="Times New Roman" w:hAnsi="Times New Roman" w:cs="Times New Roman"/>
            <w:noProof/>
            <w:webHidden/>
          </w:rPr>
          <w:fldChar w:fldCharType="end"/>
        </w:r>
      </w:hyperlink>
    </w:p>
    <w:p w:rsidR="00C742B4" w:rsidRPr="008F22F8" w:rsidRDefault="00F943FB" w:rsidP="00C742B4">
      <w:pPr>
        <w:pStyle w:val="Obsah1"/>
        <w:rPr>
          <w:rFonts w:ascii="Times New Roman" w:eastAsiaTheme="minorEastAsia" w:hAnsi="Times New Roman" w:cs="Times New Roman"/>
          <w:noProof/>
          <w:sz w:val="22"/>
          <w:szCs w:val="22"/>
          <w:lang w:eastAsia="sk-SK"/>
        </w:rPr>
      </w:pPr>
      <w:hyperlink w:anchor="_Toc289692070" w:history="1">
        <w:r w:rsidR="00C742B4" w:rsidRPr="008F22F8">
          <w:rPr>
            <w:rStyle w:val="Hypertextovodkaz"/>
            <w:rFonts w:ascii="Times New Roman" w:hAnsi="Times New Roman"/>
            <w:noProof/>
            <w:lang w:eastAsia="sk-SK"/>
          </w:rPr>
          <w:t>6. Informácie zverejňované v súlade so stanovami SK, a.s.</w:t>
        </w:r>
        <w:r w:rsidR="00C742B4" w:rsidRPr="008F22F8">
          <w:rPr>
            <w:rFonts w:ascii="Times New Roman" w:hAnsi="Times New Roman" w:cs="Times New Roman"/>
            <w:noProof/>
            <w:webHidden/>
          </w:rPr>
          <w:tab/>
        </w:r>
        <w:r w:rsidRPr="008F22F8">
          <w:rPr>
            <w:rFonts w:ascii="Times New Roman" w:hAnsi="Times New Roman" w:cs="Times New Roman"/>
            <w:noProof/>
            <w:webHidden/>
          </w:rPr>
          <w:fldChar w:fldCharType="begin"/>
        </w:r>
        <w:r w:rsidR="00C742B4" w:rsidRPr="008F22F8">
          <w:rPr>
            <w:rFonts w:ascii="Times New Roman" w:hAnsi="Times New Roman" w:cs="Times New Roman"/>
            <w:noProof/>
            <w:webHidden/>
          </w:rPr>
          <w:instrText xml:space="preserve"> PAGEREF _Toc289692070 \h </w:instrText>
        </w:r>
        <w:r w:rsidRPr="008F22F8">
          <w:rPr>
            <w:rFonts w:ascii="Times New Roman" w:hAnsi="Times New Roman" w:cs="Times New Roman"/>
            <w:noProof/>
            <w:webHidden/>
          </w:rPr>
        </w:r>
        <w:r w:rsidRPr="008F22F8">
          <w:rPr>
            <w:rFonts w:ascii="Times New Roman" w:hAnsi="Times New Roman" w:cs="Times New Roman"/>
            <w:noProof/>
            <w:webHidden/>
          </w:rPr>
          <w:fldChar w:fldCharType="separate"/>
        </w:r>
        <w:r w:rsidR="00C742B4">
          <w:rPr>
            <w:rFonts w:ascii="Times New Roman" w:hAnsi="Times New Roman" w:cs="Times New Roman"/>
            <w:noProof/>
            <w:webHidden/>
          </w:rPr>
          <w:t>11</w:t>
        </w:r>
        <w:r w:rsidRPr="008F22F8">
          <w:rPr>
            <w:rFonts w:ascii="Times New Roman" w:hAnsi="Times New Roman" w:cs="Times New Roman"/>
            <w:noProof/>
            <w:webHidden/>
          </w:rPr>
          <w:fldChar w:fldCharType="end"/>
        </w:r>
      </w:hyperlink>
    </w:p>
    <w:p w:rsidR="00C742B4" w:rsidRPr="008F22F8" w:rsidRDefault="00F943FB" w:rsidP="00C742B4">
      <w:pPr>
        <w:pStyle w:val="Obsah1"/>
        <w:rPr>
          <w:rFonts w:ascii="Times New Roman" w:eastAsiaTheme="minorEastAsia" w:hAnsi="Times New Roman" w:cs="Times New Roman"/>
          <w:noProof/>
          <w:sz w:val="22"/>
          <w:szCs w:val="22"/>
          <w:lang w:eastAsia="sk-SK"/>
        </w:rPr>
      </w:pPr>
      <w:hyperlink w:anchor="_Toc289692071" w:history="1">
        <w:r w:rsidR="00C742B4" w:rsidRPr="008F22F8">
          <w:rPr>
            <w:rStyle w:val="Hypertextovodkaz"/>
            <w:rFonts w:ascii="Times New Roman" w:hAnsi="Times New Roman"/>
            <w:noProof/>
          </w:rPr>
          <w:t>6.1. Informácia o prevode majetku</w:t>
        </w:r>
        <w:r w:rsidR="00C742B4" w:rsidRPr="008F22F8">
          <w:rPr>
            <w:rFonts w:ascii="Times New Roman" w:hAnsi="Times New Roman" w:cs="Times New Roman"/>
            <w:noProof/>
            <w:webHidden/>
          </w:rPr>
          <w:tab/>
        </w:r>
        <w:r w:rsidRPr="008F22F8">
          <w:rPr>
            <w:rFonts w:ascii="Times New Roman" w:hAnsi="Times New Roman" w:cs="Times New Roman"/>
            <w:noProof/>
            <w:webHidden/>
          </w:rPr>
          <w:fldChar w:fldCharType="begin"/>
        </w:r>
        <w:r w:rsidR="00C742B4" w:rsidRPr="008F22F8">
          <w:rPr>
            <w:rFonts w:ascii="Times New Roman" w:hAnsi="Times New Roman" w:cs="Times New Roman"/>
            <w:noProof/>
            <w:webHidden/>
          </w:rPr>
          <w:instrText xml:space="preserve"> PAGEREF _Toc289692071 \h </w:instrText>
        </w:r>
        <w:r w:rsidRPr="008F22F8">
          <w:rPr>
            <w:rFonts w:ascii="Times New Roman" w:hAnsi="Times New Roman" w:cs="Times New Roman"/>
            <w:noProof/>
            <w:webHidden/>
          </w:rPr>
        </w:r>
        <w:r w:rsidRPr="008F22F8">
          <w:rPr>
            <w:rFonts w:ascii="Times New Roman" w:hAnsi="Times New Roman" w:cs="Times New Roman"/>
            <w:noProof/>
            <w:webHidden/>
          </w:rPr>
          <w:fldChar w:fldCharType="separate"/>
        </w:r>
        <w:r w:rsidR="00C742B4">
          <w:rPr>
            <w:rFonts w:ascii="Times New Roman" w:hAnsi="Times New Roman" w:cs="Times New Roman"/>
            <w:noProof/>
            <w:webHidden/>
          </w:rPr>
          <w:t>11</w:t>
        </w:r>
        <w:r w:rsidRPr="008F22F8">
          <w:rPr>
            <w:rFonts w:ascii="Times New Roman" w:hAnsi="Times New Roman" w:cs="Times New Roman"/>
            <w:noProof/>
            <w:webHidden/>
          </w:rPr>
          <w:fldChar w:fldCharType="end"/>
        </w:r>
      </w:hyperlink>
    </w:p>
    <w:p w:rsidR="00C742B4" w:rsidRPr="008F22F8" w:rsidRDefault="00F943FB" w:rsidP="00C742B4">
      <w:pPr>
        <w:pStyle w:val="Obsah1"/>
        <w:rPr>
          <w:rFonts w:ascii="Times New Roman" w:eastAsiaTheme="minorEastAsia" w:hAnsi="Times New Roman" w:cs="Times New Roman"/>
          <w:noProof/>
          <w:sz w:val="22"/>
          <w:szCs w:val="22"/>
          <w:lang w:eastAsia="sk-SK"/>
        </w:rPr>
      </w:pPr>
      <w:hyperlink w:anchor="_Toc289692072" w:history="1">
        <w:r w:rsidR="00C742B4" w:rsidRPr="008F22F8">
          <w:rPr>
            <w:rStyle w:val="Hypertextovodkaz"/>
            <w:rFonts w:ascii="Times New Roman" w:hAnsi="Times New Roman"/>
            <w:noProof/>
          </w:rPr>
          <w:t>6.2. Informácia o úveroch a pôžičkách</w:t>
        </w:r>
        <w:r w:rsidR="00C742B4" w:rsidRPr="008F22F8">
          <w:rPr>
            <w:rFonts w:ascii="Times New Roman" w:hAnsi="Times New Roman" w:cs="Times New Roman"/>
            <w:noProof/>
            <w:webHidden/>
          </w:rPr>
          <w:tab/>
        </w:r>
        <w:r w:rsidRPr="008F22F8">
          <w:rPr>
            <w:rFonts w:ascii="Times New Roman" w:hAnsi="Times New Roman" w:cs="Times New Roman"/>
            <w:noProof/>
            <w:webHidden/>
          </w:rPr>
          <w:fldChar w:fldCharType="begin"/>
        </w:r>
        <w:r w:rsidR="00C742B4" w:rsidRPr="008F22F8">
          <w:rPr>
            <w:rFonts w:ascii="Times New Roman" w:hAnsi="Times New Roman" w:cs="Times New Roman"/>
            <w:noProof/>
            <w:webHidden/>
          </w:rPr>
          <w:instrText xml:space="preserve"> PAGEREF _Toc289692072 \h </w:instrText>
        </w:r>
        <w:r w:rsidRPr="008F22F8">
          <w:rPr>
            <w:rFonts w:ascii="Times New Roman" w:hAnsi="Times New Roman" w:cs="Times New Roman"/>
            <w:noProof/>
            <w:webHidden/>
          </w:rPr>
        </w:r>
        <w:r w:rsidRPr="008F22F8">
          <w:rPr>
            <w:rFonts w:ascii="Times New Roman" w:hAnsi="Times New Roman" w:cs="Times New Roman"/>
            <w:noProof/>
            <w:webHidden/>
          </w:rPr>
          <w:fldChar w:fldCharType="separate"/>
        </w:r>
        <w:r w:rsidR="00C742B4">
          <w:rPr>
            <w:rFonts w:ascii="Times New Roman" w:hAnsi="Times New Roman" w:cs="Times New Roman"/>
            <w:noProof/>
            <w:webHidden/>
          </w:rPr>
          <w:t>11</w:t>
        </w:r>
        <w:r w:rsidRPr="008F22F8">
          <w:rPr>
            <w:rFonts w:ascii="Times New Roman" w:hAnsi="Times New Roman" w:cs="Times New Roman"/>
            <w:noProof/>
            <w:webHidden/>
          </w:rPr>
          <w:fldChar w:fldCharType="end"/>
        </w:r>
      </w:hyperlink>
    </w:p>
    <w:p w:rsidR="00C742B4" w:rsidRPr="008F22F8" w:rsidRDefault="00F943FB" w:rsidP="00C742B4">
      <w:pPr>
        <w:pStyle w:val="Obsah1"/>
        <w:rPr>
          <w:rFonts w:ascii="Times New Roman" w:eastAsiaTheme="minorEastAsia" w:hAnsi="Times New Roman" w:cs="Times New Roman"/>
          <w:noProof/>
          <w:sz w:val="22"/>
          <w:szCs w:val="22"/>
          <w:lang w:eastAsia="sk-SK"/>
        </w:rPr>
      </w:pPr>
      <w:hyperlink w:anchor="_Toc289692073" w:history="1">
        <w:r w:rsidR="00C742B4" w:rsidRPr="008F22F8">
          <w:rPr>
            <w:rStyle w:val="Hypertextovodkaz"/>
            <w:rFonts w:ascii="Times New Roman" w:hAnsi="Times New Roman"/>
            <w:noProof/>
          </w:rPr>
          <w:t>6.3. Informácia o odmenách za výkon funkcie v predstavenstve a v dozornej rade</w:t>
        </w:r>
        <w:r w:rsidR="00C742B4" w:rsidRPr="008F22F8">
          <w:rPr>
            <w:rFonts w:ascii="Times New Roman" w:hAnsi="Times New Roman" w:cs="Times New Roman"/>
            <w:noProof/>
            <w:webHidden/>
          </w:rPr>
          <w:tab/>
        </w:r>
        <w:r w:rsidRPr="008F22F8">
          <w:rPr>
            <w:rFonts w:ascii="Times New Roman" w:hAnsi="Times New Roman" w:cs="Times New Roman"/>
            <w:noProof/>
            <w:webHidden/>
          </w:rPr>
          <w:fldChar w:fldCharType="begin"/>
        </w:r>
        <w:r w:rsidR="00C742B4" w:rsidRPr="008F22F8">
          <w:rPr>
            <w:rFonts w:ascii="Times New Roman" w:hAnsi="Times New Roman" w:cs="Times New Roman"/>
            <w:noProof/>
            <w:webHidden/>
          </w:rPr>
          <w:instrText xml:space="preserve"> PAGEREF _Toc289692073 \h </w:instrText>
        </w:r>
        <w:r w:rsidRPr="008F22F8">
          <w:rPr>
            <w:rFonts w:ascii="Times New Roman" w:hAnsi="Times New Roman" w:cs="Times New Roman"/>
            <w:noProof/>
            <w:webHidden/>
          </w:rPr>
        </w:r>
        <w:r w:rsidRPr="008F22F8">
          <w:rPr>
            <w:rFonts w:ascii="Times New Roman" w:hAnsi="Times New Roman" w:cs="Times New Roman"/>
            <w:noProof/>
            <w:webHidden/>
          </w:rPr>
          <w:fldChar w:fldCharType="separate"/>
        </w:r>
        <w:r w:rsidR="00C742B4">
          <w:rPr>
            <w:rFonts w:ascii="Times New Roman" w:hAnsi="Times New Roman" w:cs="Times New Roman"/>
            <w:noProof/>
            <w:webHidden/>
          </w:rPr>
          <w:t>11</w:t>
        </w:r>
        <w:r w:rsidRPr="008F22F8">
          <w:rPr>
            <w:rFonts w:ascii="Times New Roman" w:hAnsi="Times New Roman" w:cs="Times New Roman"/>
            <w:noProof/>
            <w:webHidden/>
          </w:rPr>
          <w:fldChar w:fldCharType="end"/>
        </w:r>
      </w:hyperlink>
    </w:p>
    <w:p w:rsidR="00C742B4" w:rsidRPr="008F22F8" w:rsidRDefault="00F943FB" w:rsidP="00C742B4">
      <w:pPr>
        <w:pStyle w:val="Obsah1"/>
        <w:rPr>
          <w:rFonts w:ascii="Times New Roman" w:eastAsiaTheme="minorEastAsia" w:hAnsi="Times New Roman" w:cs="Times New Roman"/>
          <w:noProof/>
          <w:sz w:val="22"/>
          <w:szCs w:val="22"/>
          <w:lang w:eastAsia="sk-SK"/>
        </w:rPr>
      </w:pPr>
      <w:hyperlink w:anchor="_Toc289692074" w:history="1">
        <w:r w:rsidR="00C742B4" w:rsidRPr="008F22F8">
          <w:rPr>
            <w:rStyle w:val="Hypertextovodkaz"/>
            <w:rFonts w:ascii="Times New Roman" w:hAnsi="Times New Roman"/>
            <w:noProof/>
          </w:rPr>
          <w:t>7. Informácie o predpokladanom vývoji činnosti SK, a.s.</w:t>
        </w:r>
        <w:r w:rsidR="00C742B4" w:rsidRPr="008F22F8">
          <w:rPr>
            <w:rFonts w:ascii="Times New Roman" w:hAnsi="Times New Roman" w:cs="Times New Roman"/>
            <w:noProof/>
            <w:webHidden/>
          </w:rPr>
          <w:tab/>
        </w:r>
        <w:r w:rsidRPr="008F22F8">
          <w:rPr>
            <w:rFonts w:ascii="Times New Roman" w:hAnsi="Times New Roman" w:cs="Times New Roman"/>
            <w:noProof/>
            <w:webHidden/>
          </w:rPr>
          <w:fldChar w:fldCharType="begin"/>
        </w:r>
        <w:r w:rsidR="00C742B4" w:rsidRPr="008F22F8">
          <w:rPr>
            <w:rFonts w:ascii="Times New Roman" w:hAnsi="Times New Roman" w:cs="Times New Roman"/>
            <w:noProof/>
            <w:webHidden/>
          </w:rPr>
          <w:instrText xml:space="preserve"> PAGEREF _Toc289692074 \h </w:instrText>
        </w:r>
        <w:r w:rsidRPr="008F22F8">
          <w:rPr>
            <w:rFonts w:ascii="Times New Roman" w:hAnsi="Times New Roman" w:cs="Times New Roman"/>
            <w:noProof/>
            <w:webHidden/>
          </w:rPr>
        </w:r>
        <w:r w:rsidRPr="008F22F8">
          <w:rPr>
            <w:rFonts w:ascii="Times New Roman" w:hAnsi="Times New Roman" w:cs="Times New Roman"/>
            <w:noProof/>
            <w:webHidden/>
          </w:rPr>
          <w:fldChar w:fldCharType="separate"/>
        </w:r>
        <w:r w:rsidR="00C742B4">
          <w:rPr>
            <w:rFonts w:ascii="Times New Roman" w:hAnsi="Times New Roman" w:cs="Times New Roman"/>
            <w:noProof/>
            <w:webHidden/>
          </w:rPr>
          <w:t>11</w:t>
        </w:r>
        <w:r w:rsidRPr="008F22F8">
          <w:rPr>
            <w:rFonts w:ascii="Times New Roman" w:hAnsi="Times New Roman" w:cs="Times New Roman"/>
            <w:noProof/>
            <w:webHidden/>
          </w:rPr>
          <w:fldChar w:fldCharType="end"/>
        </w:r>
      </w:hyperlink>
    </w:p>
    <w:p w:rsidR="00C742B4" w:rsidRPr="008F22F8" w:rsidRDefault="00F943FB" w:rsidP="00C742B4">
      <w:pPr>
        <w:pStyle w:val="Nzev"/>
        <w:tabs>
          <w:tab w:val="left" w:pos="1468"/>
        </w:tabs>
        <w:spacing w:line="360" w:lineRule="auto"/>
        <w:jc w:val="both"/>
        <w:rPr>
          <w:sz w:val="28"/>
          <w:szCs w:val="28"/>
        </w:rPr>
      </w:pPr>
      <w:r w:rsidRPr="008F22F8">
        <w:rPr>
          <w:b w:val="0"/>
          <w:color w:val="00B050"/>
          <w:sz w:val="28"/>
          <w:szCs w:val="28"/>
          <w:highlight w:val="yellow"/>
        </w:rPr>
        <w:fldChar w:fldCharType="end"/>
      </w:r>
    </w:p>
    <w:p w:rsidR="00C742B4" w:rsidRPr="00A507B5" w:rsidRDefault="00C742B4" w:rsidP="00C742B4">
      <w:pPr>
        <w:pStyle w:val="Nzev"/>
        <w:tabs>
          <w:tab w:val="left" w:pos="1468"/>
        </w:tabs>
        <w:spacing w:line="360" w:lineRule="auto"/>
        <w:jc w:val="both"/>
        <w:rPr>
          <w:sz w:val="28"/>
          <w:szCs w:val="28"/>
        </w:rPr>
      </w:pPr>
    </w:p>
    <w:p w:rsidR="00C742B4" w:rsidRPr="00A507B5" w:rsidRDefault="00C742B4" w:rsidP="00C742B4">
      <w:pPr>
        <w:pStyle w:val="Nzev"/>
        <w:spacing w:line="360" w:lineRule="auto"/>
        <w:jc w:val="both"/>
        <w:rPr>
          <w:b w:val="0"/>
          <w:i/>
          <w:color w:val="000080"/>
          <w:szCs w:val="24"/>
          <w:lang w:eastAsia="cs-CZ"/>
        </w:rPr>
        <w:sectPr w:rsidR="00C742B4" w:rsidRPr="00A507B5">
          <w:footerReference w:type="even" r:id="rId15"/>
          <w:footerReference w:type="default" r:id="rId16"/>
          <w:pgSz w:w="11907" w:h="16840" w:code="9"/>
          <w:pgMar w:top="1418" w:right="1418" w:bottom="1418" w:left="1418" w:header="709" w:footer="709" w:gutter="0"/>
          <w:pgNumType w:start="0"/>
          <w:cols w:space="708"/>
          <w:titlePg/>
          <w:docGrid w:linePitch="360"/>
        </w:sectPr>
      </w:pPr>
    </w:p>
    <w:p w:rsidR="00C742B4" w:rsidRPr="00A507B5" w:rsidRDefault="00C742B4" w:rsidP="00C742B4">
      <w:pPr>
        <w:pStyle w:val="nzov1"/>
        <w:rPr>
          <w:color w:val="00B050"/>
        </w:rPr>
      </w:pPr>
      <w:bookmarkStart w:id="0" w:name="_Toc164064132"/>
      <w:bookmarkStart w:id="1" w:name="_Toc229286027"/>
      <w:bookmarkStart w:id="2" w:name="_Toc289692059"/>
      <w:bookmarkStart w:id="3" w:name="_Toc132424052"/>
      <w:bookmarkStart w:id="4" w:name="_Toc164064133"/>
      <w:r w:rsidRPr="00A507B5">
        <w:rPr>
          <w:color w:val="00B050"/>
        </w:rPr>
        <w:lastRenderedPageBreak/>
        <w:t>Príhovor predsedu predstavenstva</w:t>
      </w:r>
      <w:bookmarkEnd w:id="0"/>
      <w:r w:rsidRPr="00A507B5">
        <w:rPr>
          <w:color w:val="00B050"/>
        </w:rPr>
        <w:t xml:space="preserve"> a generálneho riaditeľa</w:t>
      </w:r>
      <w:bookmarkEnd w:id="1"/>
      <w:bookmarkEnd w:id="2"/>
    </w:p>
    <w:p w:rsidR="00C742B4" w:rsidRPr="00A507B5" w:rsidRDefault="00C742B4" w:rsidP="00C742B4">
      <w:pPr>
        <w:pStyle w:val="nzov1"/>
        <w:jc w:val="both"/>
        <w:rPr>
          <w:highlight w:val="yellow"/>
        </w:rPr>
      </w:pPr>
    </w:p>
    <w:p w:rsidR="00C742B4" w:rsidRPr="00A507B5" w:rsidRDefault="00C742B4" w:rsidP="00C742B4">
      <w:pPr>
        <w:pStyle w:val="nzov1"/>
        <w:jc w:val="both"/>
        <w:rPr>
          <w:highlight w:val="yellow"/>
        </w:rPr>
      </w:pPr>
    </w:p>
    <w:p w:rsidR="00C742B4" w:rsidRPr="00A507B5" w:rsidRDefault="00C742B4" w:rsidP="00C742B4">
      <w:pPr>
        <w:jc w:val="both"/>
      </w:pPr>
      <w:r w:rsidRPr="00A507B5">
        <w:t>Vážený akcionár,</w:t>
      </w:r>
    </w:p>
    <w:p w:rsidR="00C742B4" w:rsidRPr="00A507B5" w:rsidRDefault="00C742B4" w:rsidP="00C742B4">
      <w:pPr>
        <w:jc w:val="both"/>
      </w:pPr>
      <w:r w:rsidRPr="00A507B5">
        <w:t>vážené dámy a páni,</w:t>
      </w:r>
    </w:p>
    <w:p w:rsidR="00C742B4" w:rsidRPr="00A507B5" w:rsidRDefault="00C742B4" w:rsidP="00C742B4">
      <w:pPr>
        <w:jc w:val="both"/>
      </w:pPr>
      <w:r w:rsidRPr="00A507B5">
        <w:t> </w:t>
      </w:r>
    </w:p>
    <w:p w:rsidR="00C742B4" w:rsidRPr="00A507B5" w:rsidRDefault="00C742B4" w:rsidP="00C742B4">
      <w:pPr>
        <w:jc w:val="both"/>
      </w:pPr>
      <w:r w:rsidRPr="00A507B5">
        <w:t>prihováram sa Vám po prvý krát z pozície predsedu predstavenstva a generálneho riaditeľa Slovenskej konsolidačnej, a.s.  V roku 2010 prešla SK, a.s.  niekoľkými zmenami v riadiacich orgánoch, no pevne verím, že výsledky, ktoré sme spoločnou prácou v roku 2010 dosiahli, budú jasnou odpoveďou na zvýšené nároky, ktoré ekonomická situácia u nás a vo svete kladie aj na fungovanie našej spoločnosti.</w:t>
      </w:r>
    </w:p>
    <w:p w:rsidR="00C742B4" w:rsidRPr="00A507B5" w:rsidRDefault="00C742B4" w:rsidP="00C742B4">
      <w:pPr>
        <w:jc w:val="both"/>
      </w:pPr>
    </w:p>
    <w:p w:rsidR="00C742B4" w:rsidRPr="00A507B5" w:rsidRDefault="00C742B4" w:rsidP="00C742B4">
      <w:pPr>
        <w:jc w:val="both"/>
      </w:pPr>
      <w:r w:rsidRPr="00A507B5">
        <w:t>Slovenská konsolidačná, a.s. v intenciách hlavného cieľa vytýčeného pre rok 2010 položila dôraz na efektívne spravovanie a vymáhanie pohľadávok. Udržaný trend sa </w:t>
      </w:r>
      <w:r>
        <w:t>premietol do </w:t>
      </w:r>
      <w:r w:rsidRPr="00A507B5">
        <w:t>kladného výsledku hospodárenia z obchodnej činnosti, pri bezproblémovom zabezpečení finančného krytia vlastných prevádzkových výdavkov. Výsledok hospodárenia za účtovné obdobie</w:t>
      </w:r>
      <w:r>
        <w:t xml:space="preserve"> predstavuje zisk 13 624 tis. €.</w:t>
      </w:r>
    </w:p>
    <w:p w:rsidR="00C742B4" w:rsidRPr="00A507B5" w:rsidRDefault="00C742B4" w:rsidP="00C742B4">
      <w:pPr>
        <w:jc w:val="both"/>
      </w:pPr>
    </w:p>
    <w:p w:rsidR="00C742B4" w:rsidRPr="00A507B5" w:rsidRDefault="00C742B4" w:rsidP="00C742B4">
      <w:pPr>
        <w:jc w:val="both"/>
      </w:pPr>
      <w:r w:rsidRPr="00A507B5">
        <w:t>Rok 2010 bol z nášho pohľadu prelomovým predovšetkým z dôvodu jednoznačného obhájenia si pozície prirodzenej súčasti verejných financií. Analýza činnosti Slovenskej konsolidačnej, a.s. z decembra 2010, ktorú sme pripravili n</w:t>
      </w:r>
      <w:r>
        <w:t>a základe uznesenia Vlády SR č. </w:t>
      </w:r>
      <w:r w:rsidRPr="00A507B5">
        <w:t>805, ukázala, že SK,</w:t>
      </w:r>
      <w:r>
        <w:t xml:space="preserve"> </w:t>
      </w:r>
      <w:r w:rsidRPr="00A507B5">
        <w:t>a.s. je pripravená, aj na základe n</w:t>
      </w:r>
      <w:r>
        <w:t xml:space="preserve">ovely zákona č. 278/1993 </w:t>
      </w:r>
      <w:proofErr w:type="spellStart"/>
      <w:r>
        <w:t>Z.z</w:t>
      </w:r>
      <w:proofErr w:type="spellEnd"/>
      <w:r>
        <w:t>. o </w:t>
      </w:r>
      <w:r w:rsidRPr="00A507B5">
        <w:t xml:space="preserve">správe majetku štátu v znení neskorších predpisov,  spravovať a vymáhať ešte vyšší počet pohľadávok ako doteraz. </w:t>
      </w:r>
    </w:p>
    <w:p w:rsidR="00C742B4" w:rsidRPr="00A507B5" w:rsidRDefault="00C742B4" w:rsidP="00C742B4">
      <w:pPr>
        <w:jc w:val="both"/>
      </w:pPr>
    </w:p>
    <w:p w:rsidR="00C742B4" w:rsidRPr="00A507B5" w:rsidRDefault="00C742B4" w:rsidP="00C742B4">
      <w:pPr>
        <w:jc w:val="both"/>
      </w:pPr>
      <w:r w:rsidRPr="00A507B5">
        <w:t xml:space="preserve">Rok 2010 bol aj rokom, ktorý ukázal, že spolupráca s Policajným zborom SR môže byť obojstranne prospešná a vysoko efektívna. Do portfólia Slovenskej konsolidačnej, </w:t>
      </w:r>
      <w:proofErr w:type="spellStart"/>
      <w:r w:rsidRPr="00A507B5">
        <w:t>a.s</w:t>
      </w:r>
      <w:proofErr w:type="spellEnd"/>
      <w:r w:rsidRPr="00A507B5">
        <w:t xml:space="preserve"> b</w:t>
      </w:r>
      <w:r>
        <w:t xml:space="preserve">olo </w:t>
      </w:r>
      <w:r w:rsidRPr="00A507B5">
        <w:t>postúpen</w:t>
      </w:r>
      <w:r>
        <w:t>ých</w:t>
      </w:r>
      <w:r w:rsidRPr="00A507B5">
        <w:t xml:space="preserve"> viac než 18 000 dlžníkov, kde nominálna hodnota presahuje sumu 2 milióny eur. Aj na tomto poli sme dokázali, že Slovenská konsolidačná</w:t>
      </w:r>
      <w:r>
        <w:t>, a.s.</w:t>
      </w:r>
      <w:r w:rsidRPr="00A507B5">
        <w:t xml:space="preserve"> je efektívnym nástrojom vymáhania pohľadávok vo verejnom sektore.</w:t>
      </w:r>
    </w:p>
    <w:p w:rsidR="00C742B4" w:rsidRPr="00A507B5" w:rsidRDefault="00C742B4" w:rsidP="00C742B4">
      <w:pPr>
        <w:jc w:val="both"/>
      </w:pPr>
    </w:p>
    <w:p w:rsidR="00C742B4" w:rsidRDefault="00C742B4" w:rsidP="00C742B4">
      <w:pPr>
        <w:jc w:val="both"/>
      </w:pPr>
      <w:r w:rsidRPr="00A507B5">
        <w:t>Aj podpísanie dvoch zmlúv s Daňovým riaditeľstvom SR, ktorých predmetom bolo postúpenie daňových  pohľadávok a nevymožiteľných daňových nedoplatkov ukázalo logiku prijatia tézy v Programovom vyhlásení vlády SR, že zásadne zvýši efektívnosť vymáhania pohľadávok štátu jednotným koordinovaným postupom v gescii Ministerstva financií SR.</w:t>
      </w:r>
    </w:p>
    <w:p w:rsidR="00C742B4" w:rsidRPr="00A507B5" w:rsidRDefault="00C742B4" w:rsidP="00C742B4">
      <w:pPr>
        <w:jc w:val="both"/>
      </w:pPr>
    </w:p>
    <w:p w:rsidR="00C742B4" w:rsidRPr="00A507B5" w:rsidRDefault="00C742B4" w:rsidP="00C742B4">
      <w:pPr>
        <w:jc w:val="both"/>
      </w:pPr>
      <w:r w:rsidRPr="00A507B5">
        <w:t>Pri obzretí sa za rokom 2010 môžeme konštatovať, že vytýčené zámery SK, a.s. sa podarilo naplniť.</w:t>
      </w:r>
    </w:p>
    <w:p w:rsidR="00C742B4" w:rsidRPr="00A507B5" w:rsidRDefault="00C742B4" w:rsidP="00C742B4">
      <w:pPr>
        <w:jc w:val="both"/>
      </w:pPr>
    </w:p>
    <w:p w:rsidR="00C742B4" w:rsidRPr="00A507B5" w:rsidRDefault="00C742B4" w:rsidP="00C742B4">
      <w:pPr>
        <w:jc w:val="both"/>
      </w:pPr>
    </w:p>
    <w:p w:rsidR="00C742B4" w:rsidRDefault="00C742B4" w:rsidP="00C742B4">
      <w:pPr>
        <w:jc w:val="both"/>
      </w:pPr>
      <w:r w:rsidRPr="00A507B5">
        <w:t>JUDr. Pavol Sabol</w:t>
      </w:r>
    </w:p>
    <w:p w:rsidR="00C742B4" w:rsidRPr="00A507B5" w:rsidRDefault="00C742B4" w:rsidP="00C742B4">
      <w:pPr>
        <w:jc w:val="both"/>
      </w:pPr>
      <w:r>
        <w:t>p</w:t>
      </w:r>
      <w:r w:rsidRPr="00A507B5">
        <w:t>redseda predstavenstva a generálny riaditeľ</w:t>
      </w:r>
    </w:p>
    <w:p w:rsidR="00C742B4" w:rsidRPr="00A507B5" w:rsidRDefault="00C742B4" w:rsidP="00C742B4">
      <w:pPr>
        <w:jc w:val="both"/>
      </w:pPr>
      <w:r w:rsidRPr="00A507B5">
        <w:t>Slovenská konsolidačná, a.s.</w:t>
      </w:r>
    </w:p>
    <w:p w:rsidR="00C742B4" w:rsidRPr="00A507B5" w:rsidRDefault="00C742B4" w:rsidP="00C742B4">
      <w:pPr>
        <w:jc w:val="both"/>
      </w:pPr>
    </w:p>
    <w:p w:rsidR="00C742B4" w:rsidRPr="00A507B5" w:rsidRDefault="00C742B4" w:rsidP="00C742B4">
      <w:pPr>
        <w:pStyle w:val="nzov1"/>
        <w:rPr>
          <w:color w:val="00B050"/>
        </w:rPr>
      </w:pPr>
      <w:r w:rsidRPr="00A507B5">
        <w:rPr>
          <w:b w:val="0"/>
          <w:bCs w:val="0"/>
          <w:color w:val="auto"/>
          <w:sz w:val="24"/>
        </w:rPr>
        <w:br w:type="page"/>
      </w:r>
      <w:bookmarkStart w:id="5" w:name="_Toc289692060"/>
      <w:r w:rsidRPr="00A507B5">
        <w:rPr>
          <w:color w:val="00B050"/>
        </w:rPr>
        <w:lastRenderedPageBreak/>
        <w:t>1. Základné informácie o spoločnosti</w:t>
      </w:r>
      <w:bookmarkEnd w:id="3"/>
      <w:bookmarkEnd w:id="4"/>
      <w:bookmarkEnd w:id="5"/>
    </w:p>
    <w:p w:rsidR="00C742B4" w:rsidRPr="00A507B5" w:rsidRDefault="00C742B4" w:rsidP="00C742B4">
      <w:pPr>
        <w:jc w:val="both"/>
        <w:rPr>
          <w:color w:val="00B050"/>
        </w:rPr>
      </w:pPr>
    </w:p>
    <w:p w:rsidR="00C742B4" w:rsidRPr="00A507B5" w:rsidRDefault="00C742B4" w:rsidP="00C742B4">
      <w:pPr>
        <w:jc w:val="both"/>
        <w:rPr>
          <w:color w:val="00B050"/>
        </w:rPr>
      </w:pPr>
    </w:p>
    <w:p w:rsidR="00C742B4" w:rsidRPr="00A507B5" w:rsidRDefault="00C742B4" w:rsidP="00C742B4">
      <w:pPr>
        <w:pStyle w:val="Zkladntext"/>
        <w:widowControl w:val="0"/>
        <w:jc w:val="both"/>
        <w:rPr>
          <w:bCs/>
        </w:rPr>
      </w:pPr>
      <w:r w:rsidRPr="00A507B5">
        <w:rPr>
          <w:bCs/>
        </w:rPr>
        <w:t>Slovenská konsol</w:t>
      </w:r>
      <w:r>
        <w:rPr>
          <w:bCs/>
        </w:rPr>
        <w:t>idačná, a. s. (ďalej aj „SK, a.</w:t>
      </w:r>
      <w:r w:rsidRPr="00A507B5">
        <w:rPr>
          <w:bCs/>
        </w:rPr>
        <w:t>s.“) bola založená zakladateľskou listinou zo dňa 26.10.1999 v zmysle ustanovení Obchodného zákonníka.</w:t>
      </w:r>
    </w:p>
    <w:p w:rsidR="00C742B4" w:rsidRPr="00A507B5" w:rsidRDefault="00C742B4" w:rsidP="00C742B4">
      <w:pPr>
        <w:pStyle w:val="Zkladntext"/>
        <w:widowControl w:val="0"/>
        <w:jc w:val="both"/>
        <w:rPr>
          <w:bCs/>
        </w:rPr>
      </w:pPr>
    </w:p>
    <w:p w:rsidR="00C742B4" w:rsidRPr="00A507B5" w:rsidRDefault="00C742B4" w:rsidP="00C742B4">
      <w:pPr>
        <w:pStyle w:val="Zkladntext"/>
        <w:widowControl w:val="0"/>
        <w:jc w:val="both"/>
        <w:rPr>
          <w:bCs/>
        </w:rPr>
      </w:pPr>
      <w:r w:rsidRPr="00A507B5">
        <w:rPr>
          <w:bCs/>
        </w:rPr>
        <w:t>Je zapísaná v Obchodnom registri Okresného súdu Bratislava I. zápisom zo dňa 10.11.1999 v </w:t>
      </w:r>
      <w:proofErr w:type="spellStart"/>
      <w:r w:rsidRPr="00A507B5">
        <w:rPr>
          <w:bCs/>
        </w:rPr>
        <w:t>oddieli</w:t>
      </w:r>
      <w:proofErr w:type="spellEnd"/>
      <w:r w:rsidRPr="00A507B5">
        <w:rPr>
          <w:bCs/>
        </w:rPr>
        <w:t xml:space="preserve"> Sa vložka č. 2257/B, IČO: 35776005.</w:t>
      </w:r>
    </w:p>
    <w:p w:rsidR="00C742B4" w:rsidRPr="00A507B5" w:rsidRDefault="00C742B4" w:rsidP="00C742B4">
      <w:pPr>
        <w:pStyle w:val="Zkladntext"/>
        <w:widowControl w:val="0"/>
        <w:jc w:val="both"/>
        <w:rPr>
          <w:bCs/>
        </w:rPr>
      </w:pPr>
    </w:p>
    <w:p w:rsidR="00C742B4" w:rsidRPr="00A507B5" w:rsidRDefault="00C742B4" w:rsidP="00C742B4">
      <w:pPr>
        <w:pStyle w:val="Zkladntext"/>
        <w:widowControl w:val="0"/>
        <w:jc w:val="both"/>
        <w:rPr>
          <w:bCs/>
        </w:rPr>
      </w:pPr>
      <w:r w:rsidRPr="00A507B5">
        <w:rPr>
          <w:bCs/>
        </w:rPr>
        <w:t>Spoločnosť nemá organizačnú zložku v zahraničí.</w:t>
      </w:r>
    </w:p>
    <w:p w:rsidR="00C742B4" w:rsidRPr="00A507B5" w:rsidRDefault="00C742B4" w:rsidP="00C742B4">
      <w:pPr>
        <w:pStyle w:val="Zkladntext"/>
        <w:widowControl w:val="0"/>
        <w:jc w:val="both"/>
        <w:rPr>
          <w:bCs/>
        </w:rPr>
      </w:pPr>
    </w:p>
    <w:p w:rsidR="00C742B4" w:rsidRPr="00A507B5" w:rsidRDefault="00C742B4" w:rsidP="00C742B4">
      <w:pPr>
        <w:pStyle w:val="Zkladntext"/>
        <w:widowControl w:val="0"/>
        <w:jc w:val="both"/>
        <w:rPr>
          <w:bCs/>
        </w:rPr>
      </w:pPr>
      <w:r w:rsidRPr="00A507B5">
        <w:rPr>
          <w:bCs/>
        </w:rPr>
        <w:t xml:space="preserve">Základné imanie SK, a. s. k 31.12.2010 predstavovalo 1 660 000 </w:t>
      </w:r>
      <w:r w:rsidRPr="00A507B5">
        <w:t>€.</w:t>
      </w:r>
    </w:p>
    <w:p w:rsidR="00C742B4" w:rsidRPr="00A507B5" w:rsidRDefault="00C742B4" w:rsidP="00C742B4">
      <w:pPr>
        <w:pStyle w:val="Zpat"/>
        <w:jc w:val="both"/>
      </w:pPr>
    </w:p>
    <w:p w:rsidR="00C742B4" w:rsidRPr="00A507B5" w:rsidRDefault="00C742B4" w:rsidP="00C742B4">
      <w:pPr>
        <w:pStyle w:val="Zpat"/>
        <w:jc w:val="both"/>
      </w:pPr>
    </w:p>
    <w:p w:rsidR="00C742B4" w:rsidRPr="00A507B5" w:rsidRDefault="00C742B4" w:rsidP="00C742B4">
      <w:pPr>
        <w:pStyle w:val="Zpat"/>
        <w:jc w:val="both"/>
      </w:pPr>
    </w:p>
    <w:p w:rsidR="00C742B4" w:rsidRPr="00A507B5" w:rsidRDefault="00C742B4" w:rsidP="00C742B4">
      <w:pPr>
        <w:pStyle w:val="nzov1"/>
        <w:rPr>
          <w:color w:val="00B050"/>
        </w:rPr>
      </w:pPr>
      <w:bookmarkStart w:id="6" w:name="_Toc132424053"/>
      <w:bookmarkStart w:id="7" w:name="_Toc164064134"/>
      <w:bookmarkStart w:id="8" w:name="_Toc289692061"/>
      <w:r w:rsidRPr="00A507B5">
        <w:rPr>
          <w:color w:val="00B050"/>
        </w:rPr>
        <w:t>2. Charakteristika činnosti spoločnosti</w:t>
      </w:r>
      <w:bookmarkEnd w:id="6"/>
      <w:r w:rsidRPr="00A507B5">
        <w:rPr>
          <w:color w:val="00B050"/>
        </w:rPr>
        <w:t xml:space="preserve"> v roku 20</w:t>
      </w:r>
      <w:bookmarkEnd w:id="7"/>
      <w:r w:rsidRPr="00A507B5">
        <w:rPr>
          <w:color w:val="00B050"/>
        </w:rPr>
        <w:t>10</w:t>
      </w:r>
      <w:bookmarkEnd w:id="8"/>
    </w:p>
    <w:p w:rsidR="00C742B4" w:rsidRPr="00A507B5" w:rsidRDefault="00C742B4" w:rsidP="00C742B4">
      <w:pPr>
        <w:pStyle w:val="Zpat"/>
        <w:jc w:val="both"/>
      </w:pPr>
    </w:p>
    <w:p w:rsidR="00C742B4" w:rsidRPr="00A507B5" w:rsidRDefault="00C742B4" w:rsidP="00C742B4">
      <w:pPr>
        <w:pStyle w:val="Zpat"/>
        <w:jc w:val="both"/>
      </w:pPr>
    </w:p>
    <w:p w:rsidR="00C742B4" w:rsidRPr="00A507B5" w:rsidRDefault="00C742B4" w:rsidP="00C742B4">
      <w:pPr>
        <w:pStyle w:val="Zkladntext"/>
        <w:widowControl w:val="0"/>
        <w:jc w:val="both"/>
        <w:rPr>
          <w:bCs/>
        </w:rPr>
      </w:pPr>
      <w:r w:rsidRPr="00A507B5">
        <w:rPr>
          <w:bCs/>
        </w:rPr>
        <w:t xml:space="preserve">V roku 2010 SK, a. s. zrealizovala proces postupovania pohľadávok z inštitúcií verejnej správy, a to z Krajského riaditeľstva PZ v Nitre, z Daňového riaditeľstva SR a zo Sociálnej poisťovne. </w:t>
      </w:r>
    </w:p>
    <w:p w:rsidR="00C742B4" w:rsidRPr="00A507B5" w:rsidRDefault="00C742B4" w:rsidP="00C742B4">
      <w:pPr>
        <w:pStyle w:val="Zkladntext"/>
        <w:widowControl w:val="0"/>
        <w:jc w:val="both"/>
        <w:rPr>
          <w:bCs/>
        </w:rPr>
      </w:pPr>
    </w:p>
    <w:p w:rsidR="00C742B4" w:rsidRPr="00A507B5" w:rsidRDefault="00C742B4" w:rsidP="00C742B4">
      <w:pPr>
        <w:jc w:val="both"/>
      </w:pPr>
      <w:r w:rsidRPr="00A507B5">
        <w:t>V apríli 2010 Slovenská konsolidačná, a.s. uzavrela Zmluvu o postúpení pohľadávok s Krajským riaditeľstvom PZ v Nitre, na základe ktorej n</w:t>
      </w:r>
      <w:r>
        <w:t>adobudla 20 139 pohľadávok voči </w:t>
      </w:r>
      <w:r w:rsidRPr="00A507B5">
        <w:t xml:space="preserve">11 473 dlžníkom v nominálnej hodnote </w:t>
      </w:r>
      <w:r w:rsidRPr="00A507B5">
        <w:rPr>
          <w:rFonts w:eastAsia="Calibri"/>
        </w:rPr>
        <w:t>1 363 741,02 €</w:t>
      </w:r>
      <w:r w:rsidRPr="00A507B5">
        <w:t>. Išlo o prvú etapu postupovania pohľadávok voči dlžníkom z titulu nezaplatených splatných pokút uložených v priestupkovom konaní z rezortu Ministerstva vnútra SR.</w:t>
      </w:r>
    </w:p>
    <w:p w:rsidR="00C742B4" w:rsidRPr="00A507B5" w:rsidRDefault="00C742B4" w:rsidP="00C742B4">
      <w:pPr>
        <w:jc w:val="both"/>
      </w:pPr>
    </w:p>
    <w:p w:rsidR="00C742B4" w:rsidRPr="00A507B5" w:rsidRDefault="00C742B4" w:rsidP="00C742B4">
      <w:pPr>
        <w:jc w:val="both"/>
      </w:pPr>
      <w:r w:rsidRPr="00A507B5">
        <w:t>Druhá etapa postupovania pohľadávok z Krajského riaditeľstva PZ v Nitre bola realizovaná na základe ďalšej Zmluvy o postúpení pohľadávok v októbri 2010. Po uzavretí zmluvy bola prevzatá dokumentácia k 10 220 pohľadávkam voči 6 777 dlžníkom v nominálnej hodnote 841 564,20 €.</w:t>
      </w:r>
    </w:p>
    <w:p w:rsidR="00C742B4" w:rsidRPr="00A507B5" w:rsidRDefault="00C742B4" w:rsidP="00C742B4">
      <w:pPr>
        <w:jc w:val="both"/>
      </w:pPr>
    </w:p>
    <w:p w:rsidR="00C742B4" w:rsidRPr="00A507B5" w:rsidRDefault="00C742B4" w:rsidP="00C742B4">
      <w:pPr>
        <w:jc w:val="both"/>
      </w:pPr>
      <w:r w:rsidRPr="00A507B5">
        <w:t>V októbri 2010 bola uzatvorená Zmluva o postúpení pohľadá</w:t>
      </w:r>
      <w:r>
        <w:t>vok so Sociálnou poisťovňou, na </w:t>
      </w:r>
      <w:r w:rsidRPr="00A507B5">
        <w:t xml:space="preserve">základe ktorej Slovenská konsolidačná, a.s. nadobudla  435 pohľadávok voči 435 dlžníkom v konkurze a v likvidácii v nominálnej hodnote 34 115 458,68 €.  </w:t>
      </w:r>
    </w:p>
    <w:p w:rsidR="00C742B4" w:rsidRPr="00A507B5" w:rsidRDefault="00C742B4" w:rsidP="00C742B4">
      <w:pPr>
        <w:jc w:val="both"/>
      </w:pPr>
    </w:p>
    <w:p w:rsidR="00C742B4" w:rsidRPr="00A507B5" w:rsidRDefault="00C742B4" w:rsidP="00C742B4">
      <w:pPr>
        <w:jc w:val="both"/>
      </w:pPr>
      <w:r w:rsidRPr="00A507B5">
        <w:t>V súlade so Zmluvou o postúpení daňových pohľadávok, uzavretej v novembri 2010, Slovenská konsolidačná, a.s. nadobudla od Daňového riaditeľstva SR 15 342 pohľadávok voči 974 dlžníkom v konkurze a v likvidácii v nominálnej hodnote 84 979 157,45 €. Ďalšou zmluvou o postúpení pohľadávok, ktorá bola uzatvorená taktiež v novembri 2010 medzi Slovenskou konsolidačnou, a.s. a Daňovým riaditeľstvom SR, boli postúpené nevymožiteľné daňové nedoplatky, u ktorých uplynulo viac ako päť rokov od konca roka, v ktorom vznikli. Išlo o 54 632 pohľadávok voči 6 268 dlžníkom v nominálnej hodnote 237 573 631,28 €.</w:t>
      </w:r>
    </w:p>
    <w:p w:rsidR="00C742B4" w:rsidRPr="00A507B5" w:rsidRDefault="00C742B4" w:rsidP="00C742B4">
      <w:pPr>
        <w:jc w:val="both"/>
      </w:pPr>
    </w:p>
    <w:p w:rsidR="00C742B4" w:rsidRPr="00A507B5" w:rsidRDefault="00C742B4" w:rsidP="00C742B4">
      <w:pPr>
        <w:pStyle w:val="Zkladntext"/>
        <w:jc w:val="both"/>
      </w:pPr>
      <w:r w:rsidRPr="00A507B5">
        <w:lastRenderedPageBreak/>
        <w:t>Súčinnosť s orgánmi štátnej a verejnej správy a orgánmi činnými v trestných konaniach spočívala v spolupráci SK, a. s. s nimi najmä v daňových, colných a trestných konaniach, v podávaní informácií o dlžníkoch SK, a. s., v predkladaní dôkazných materiálov orgánom činným v trestnom konaní, v účasti na výsluchoch v trestných konaniach, podávaní stanovísk a vyjadrení v trestných konaniach a pod. V prípade podozrenia zo spáchania trestného činu boli podané podnety na začatie trestného stíhania.</w:t>
      </w:r>
    </w:p>
    <w:p w:rsidR="00C742B4" w:rsidRPr="00A507B5" w:rsidRDefault="00C742B4" w:rsidP="00C742B4">
      <w:pPr>
        <w:pStyle w:val="Zkladntext"/>
        <w:jc w:val="both"/>
        <w:rPr>
          <w:highlight w:val="yellow"/>
        </w:rPr>
      </w:pPr>
    </w:p>
    <w:p w:rsidR="00C742B4" w:rsidRPr="00A507B5" w:rsidRDefault="00C742B4" w:rsidP="00C742B4">
      <w:pPr>
        <w:pStyle w:val="Zkladntext"/>
        <w:jc w:val="both"/>
      </w:pPr>
      <w:r>
        <w:t>SK, a.</w:t>
      </w:r>
      <w:r w:rsidRPr="00A507B5">
        <w:t>s. okrem správy a vymáhania pohľadávok zo svojho portfólia zabezpečovala aj vymáhanie pohľadávok, ktoré boli v roku 2003 postúpené Slovenskej záručnej a rozvojovej banke, a.s. na základe zmlúv o postúpení pohľadávok. Z postúpe</w:t>
      </w:r>
      <w:r>
        <w:t>ných pohľadávok bola ku dňu 31.12.</w:t>
      </w:r>
      <w:r w:rsidRPr="00A507B5">
        <w:t>2010 vymožená čiastka 676.788,97 €, o ktor</w:t>
      </w:r>
      <w:r>
        <w:t>ú sa zároveň zvýšila odplata za </w:t>
      </w:r>
      <w:r w:rsidRPr="00A507B5">
        <w:t>postúpené pohľadávky. Vzhľadom na aktuálny stav v správe a vymáhaní pohľa</w:t>
      </w:r>
      <w:r>
        <w:t>dávok voči </w:t>
      </w:r>
      <w:r w:rsidRPr="00A507B5">
        <w:t>jednotlivým</w:t>
      </w:r>
      <w:r>
        <w:t xml:space="preserve"> dlžníkom predstavenstvo SK, a.</w:t>
      </w:r>
      <w:r w:rsidRPr="00A507B5">
        <w:t xml:space="preserve">s. na základe návrhu odboru v roku 2010 rozhodlo o ukončení správy </w:t>
      </w:r>
      <w:r>
        <w:t>a vymáhania pohľadávok SZRB, a.</w:t>
      </w:r>
      <w:r w:rsidRPr="00A507B5">
        <w:t>s. voči trom dlžníkom z dôvodu, že boli vyčerpané všetky možnosti vymáhania pohľadávok a už nie je možné predpokladať akékoľvek ich uspokojenie.</w:t>
      </w:r>
    </w:p>
    <w:p w:rsidR="00C742B4" w:rsidRPr="00A507B5" w:rsidRDefault="00C742B4" w:rsidP="00C742B4">
      <w:pPr>
        <w:jc w:val="both"/>
        <w:rPr>
          <w:b/>
          <w:color w:val="339966"/>
        </w:rPr>
      </w:pPr>
    </w:p>
    <w:p w:rsidR="00C742B4" w:rsidRPr="00A507B5" w:rsidRDefault="00C742B4" w:rsidP="00C742B4">
      <w:pPr>
        <w:pStyle w:val="Styl1"/>
        <w:rPr>
          <w:szCs w:val="24"/>
          <w:lang w:eastAsia="cs-CZ"/>
        </w:rPr>
      </w:pPr>
      <w:bookmarkStart w:id="9" w:name="_Toc132424054"/>
      <w:bookmarkStart w:id="10" w:name="_Toc164064135"/>
    </w:p>
    <w:p w:rsidR="00C742B4" w:rsidRPr="00A507B5" w:rsidRDefault="00C742B4" w:rsidP="00C742B4">
      <w:pPr>
        <w:pStyle w:val="nzov1"/>
        <w:rPr>
          <w:color w:val="00B050"/>
        </w:rPr>
      </w:pPr>
      <w:bookmarkStart w:id="11" w:name="_Toc289692062"/>
      <w:r w:rsidRPr="00A507B5">
        <w:rPr>
          <w:color w:val="00B050"/>
        </w:rPr>
        <w:t xml:space="preserve">3. Výsledky hospodárenia v roku </w:t>
      </w:r>
      <w:r w:rsidRPr="00A507B5">
        <w:t>20</w:t>
      </w:r>
      <w:bookmarkEnd w:id="9"/>
      <w:bookmarkEnd w:id="10"/>
      <w:r>
        <w:t>10</w:t>
      </w:r>
      <w:bookmarkEnd w:id="11"/>
    </w:p>
    <w:p w:rsidR="00C742B4" w:rsidRPr="00A507B5" w:rsidRDefault="00C742B4" w:rsidP="00C742B4">
      <w:pPr>
        <w:pStyle w:val="Zkladntextodsazen"/>
        <w:ind w:left="0"/>
        <w:jc w:val="both"/>
      </w:pPr>
    </w:p>
    <w:p w:rsidR="00C742B4" w:rsidRPr="00A507B5" w:rsidRDefault="00C742B4" w:rsidP="00C742B4">
      <w:pPr>
        <w:pStyle w:val="Zkladntextodsazen"/>
        <w:ind w:left="0"/>
        <w:jc w:val="both"/>
      </w:pPr>
      <w:r w:rsidRPr="00A507B5">
        <w:t>V súlade s podnikateľským plánom SK, a.s. na rok 2010, ktorý bol schválený Valným zhromaždením dňa 17.6.2010 bolo hlavným cieľom spoločnosti v roku 2010 sústrediť svoju činnosť na efektívne spravovanie a vymáhanie pohľad</w:t>
      </w:r>
      <w:r>
        <w:t>ávok, ktoré SK, a.s. prevzala v </w:t>
      </w:r>
      <w:r w:rsidRPr="00A507B5">
        <w:t>predošlých rokoch do svojho majetku. Spoločnosť sa kontinuálne sústredila na prevzatie ďalších skupín pohľadávok predovšetkým z inštitúcií verejného sektora.</w:t>
      </w:r>
    </w:p>
    <w:p w:rsidR="00C742B4" w:rsidRPr="00A507B5" w:rsidRDefault="00C742B4" w:rsidP="00C742B4">
      <w:pPr>
        <w:pStyle w:val="Zkladntextodsazen"/>
        <w:ind w:left="0"/>
        <w:jc w:val="both"/>
      </w:pPr>
    </w:p>
    <w:p w:rsidR="00C742B4" w:rsidRPr="00A507B5" w:rsidRDefault="00C742B4" w:rsidP="00C742B4">
      <w:pPr>
        <w:pStyle w:val="Zkladntextodsazen"/>
        <w:ind w:left="0"/>
        <w:jc w:val="both"/>
      </w:pPr>
      <w:r w:rsidRPr="00A507B5">
        <w:t>Z finančného pohľadu mala spoločnosť efektívnym spravovaním pohľadávok dosiahnuť kladný výsledok hospodárenia z obchodnej činnosti, t.j. z realizácie pohľadávok ovplyvnenej adekvátnymi prevádzkovými nákladmi a výnosmi. V rámci peňažných tokov mala SK, a.s. vytýčený cieľ dosiahnuť taký čistý príjem, ktorý jej zabezpečí</w:t>
      </w:r>
      <w:r>
        <w:t xml:space="preserve"> finančné krytie personálnych a </w:t>
      </w:r>
      <w:r w:rsidRPr="00A507B5">
        <w:t>ostatných vlastných prevádzkových výdavkov, ktoré sú nevyhnutné na fungovanie spoločnosti.</w:t>
      </w:r>
    </w:p>
    <w:p w:rsidR="00C742B4" w:rsidRPr="00A507B5" w:rsidRDefault="00C742B4" w:rsidP="00C742B4">
      <w:pPr>
        <w:pStyle w:val="Zkladntextodsazen"/>
        <w:ind w:left="0"/>
        <w:jc w:val="both"/>
      </w:pPr>
    </w:p>
    <w:p w:rsidR="00C742B4" w:rsidRPr="00A507B5" w:rsidRDefault="00C742B4" w:rsidP="00C742B4">
      <w:pPr>
        <w:jc w:val="both"/>
      </w:pPr>
      <w:r w:rsidRPr="00A507B5">
        <w:t xml:space="preserve">Rôznorodosť portfólia pohľadávok v SK, a.s. má za následok, že každej skupine pohľadávok je venovaná individuálna pozornosť v nadväznosti na ich pôvod, ako aj legislatívnu úpravu umožňujúcu ich spravovanie. V tejto súvislosti aj podnikateľský plán uvažoval s  realizáciou pohľadávok s tým cieľom, aby SK, a.s. dosiahla adekvátne výnosy z obchodnej činnosti.  </w:t>
      </w:r>
    </w:p>
    <w:p w:rsidR="00C742B4" w:rsidRPr="00A507B5" w:rsidRDefault="00C742B4" w:rsidP="00C742B4">
      <w:pPr>
        <w:jc w:val="both"/>
      </w:pPr>
    </w:p>
    <w:p w:rsidR="00C742B4" w:rsidRPr="00A507B5" w:rsidRDefault="00C742B4" w:rsidP="00C742B4">
      <w:pPr>
        <w:jc w:val="both"/>
      </w:pPr>
      <w:r w:rsidRPr="00A507B5">
        <w:t>Na základe dosiahnutých výsledkov hospodárenia je možné konštatovať, že vytýčené zámery sa SK, a.s. podarilo naplniť. V čerpaní prevádzkových ná</w:t>
      </w:r>
      <w:r>
        <w:t>kladov bola dosiahnutá úspora a </w:t>
      </w:r>
      <w:r w:rsidRPr="00A507B5">
        <w:t xml:space="preserve">zároveň celkové príjmy spoločnosti boli prekročené. </w:t>
      </w:r>
    </w:p>
    <w:p w:rsidR="00C742B4" w:rsidRPr="00A507B5" w:rsidRDefault="00C742B4" w:rsidP="00C742B4">
      <w:pPr>
        <w:jc w:val="both"/>
      </w:pPr>
    </w:p>
    <w:p w:rsidR="00C742B4" w:rsidRPr="00A507B5" w:rsidRDefault="00C742B4" w:rsidP="00C742B4">
      <w:pPr>
        <w:jc w:val="both"/>
      </w:pPr>
      <w:r w:rsidRPr="00A507B5">
        <w:t>Portfólio pohľadávok v aktívach bilancie pokleslo k 31.12.2010 predovšetkým v dôsledku nasledovných skutočností a to odpisu nedobytných pohľadávok do strát a tiež príjmov (celkovo o 11 587 tis. €). Čerpanie prevádzkových nákladov bolo priaznivé 6 462 tis. € (88,9% ročného plánu).</w:t>
      </w:r>
    </w:p>
    <w:p w:rsidR="00C742B4" w:rsidRPr="00A507B5" w:rsidRDefault="00C742B4" w:rsidP="00C742B4">
      <w:pPr>
        <w:jc w:val="both"/>
      </w:pPr>
    </w:p>
    <w:p w:rsidR="00C742B4" w:rsidRPr="00A507B5" w:rsidRDefault="00C742B4" w:rsidP="00C742B4">
      <w:pPr>
        <w:pStyle w:val="Zkladntextodsazen"/>
        <w:ind w:left="0"/>
        <w:jc w:val="both"/>
      </w:pPr>
      <w:r w:rsidRPr="00A507B5">
        <w:lastRenderedPageBreak/>
        <w:t xml:space="preserve">Celkové </w:t>
      </w:r>
      <w:proofErr w:type="spellStart"/>
      <w:r w:rsidRPr="00A507B5">
        <w:t>cash</w:t>
      </w:r>
      <w:proofErr w:type="spellEnd"/>
      <w:r w:rsidRPr="00A507B5">
        <w:t xml:space="preserve"> príjmy spoločnosti dosiahli 12 339 tis. €, pričom dominantnú časť príjmov tvorili príjmy z realizácie a vymáhania pohľadávok (11 604 ti</w:t>
      </w:r>
      <w:r>
        <w:t>s. €). Výdavky predstavovali 19 </w:t>
      </w:r>
      <w:r w:rsidRPr="00A507B5">
        <w:t>804 tis. €.</w:t>
      </w:r>
    </w:p>
    <w:p w:rsidR="00C742B4" w:rsidRPr="00A507B5" w:rsidRDefault="00C742B4" w:rsidP="00C742B4">
      <w:pPr>
        <w:pStyle w:val="Zkladntextodsazen"/>
        <w:ind w:left="0"/>
        <w:jc w:val="both"/>
      </w:pPr>
    </w:p>
    <w:p w:rsidR="00C742B4" w:rsidRPr="00A507B5" w:rsidRDefault="00C742B4" w:rsidP="00C742B4">
      <w:pPr>
        <w:pStyle w:val="Zkladntextodsazen"/>
        <w:ind w:left="0"/>
        <w:jc w:val="both"/>
      </w:pPr>
    </w:p>
    <w:p w:rsidR="00C742B4" w:rsidRPr="00A507B5" w:rsidRDefault="00C742B4" w:rsidP="00C742B4">
      <w:pPr>
        <w:pStyle w:val="nzov1"/>
        <w:rPr>
          <w:color w:val="00B050"/>
          <w:szCs w:val="28"/>
        </w:rPr>
      </w:pPr>
      <w:bookmarkStart w:id="12" w:name="_Toc132424055"/>
      <w:bookmarkStart w:id="13" w:name="_Toc289692063"/>
      <w:r w:rsidRPr="00A507B5">
        <w:rPr>
          <w:color w:val="00B050"/>
        </w:rPr>
        <w:t>3.1 Analýza hospodárenia spoločnosti a hospodár</w:t>
      </w:r>
      <w:bookmarkEnd w:id="12"/>
      <w:r w:rsidRPr="00A507B5">
        <w:rPr>
          <w:color w:val="00B050"/>
        </w:rPr>
        <w:t>sky výsledok</w:t>
      </w:r>
      <w:bookmarkEnd w:id="13"/>
    </w:p>
    <w:p w:rsidR="00C742B4" w:rsidRDefault="00C742B4" w:rsidP="00C742B4">
      <w:pPr>
        <w:pStyle w:val="Nzev"/>
        <w:jc w:val="both"/>
        <w:rPr>
          <w:b w:val="0"/>
          <w:bCs/>
        </w:rPr>
      </w:pPr>
      <w:bookmarkStart w:id="14" w:name="_Toc132424056"/>
    </w:p>
    <w:p w:rsidR="00C742B4" w:rsidRPr="00A507B5" w:rsidRDefault="00C742B4" w:rsidP="00C742B4">
      <w:pPr>
        <w:pStyle w:val="Nzev"/>
        <w:jc w:val="both"/>
        <w:rPr>
          <w:b w:val="0"/>
          <w:bCs/>
        </w:rPr>
      </w:pPr>
    </w:p>
    <w:p w:rsidR="00C742B4" w:rsidRPr="00A507B5" w:rsidRDefault="00C742B4" w:rsidP="00C742B4">
      <w:pPr>
        <w:pStyle w:val="Nzev"/>
        <w:jc w:val="both"/>
        <w:rPr>
          <w:b w:val="0"/>
        </w:rPr>
      </w:pPr>
    </w:p>
    <w:p w:rsidR="00C742B4" w:rsidRPr="00A507B5" w:rsidRDefault="00C742B4" w:rsidP="00C742B4">
      <w:pPr>
        <w:pStyle w:val="Nzev"/>
        <w:jc w:val="both"/>
        <w:rPr>
          <w:b w:val="0"/>
          <w:bCs/>
          <w:szCs w:val="24"/>
        </w:rPr>
      </w:pPr>
      <w:r w:rsidRPr="00A507B5">
        <w:rPr>
          <w:b w:val="0"/>
          <w:bCs/>
          <w:szCs w:val="24"/>
        </w:rPr>
        <w:t xml:space="preserve">Výnosy z hospodárskej činnosti sa týkali vysporiadania a vymáhania pohľadávok. </w:t>
      </w:r>
      <w:r w:rsidRPr="00A507B5">
        <w:rPr>
          <w:b w:val="0"/>
          <w:szCs w:val="24"/>
        </w:rPr>
        <w:t>Celkové zinkasované prostriedky z realizácie pohľadávok (vrátane vrátených poplatkov a úhrad trov súdnych konaní) dosiahli k 31.12.2010 sumu 11 739 tis. €</w:t>
      </w:r>
      <w:r w:rsidRPr="00A507B5">
        <w:rPr>
          <w:szCs w:val="24"/>
        </w:rPr>
        <w:t xml:space="preserve"> </w:t>
      </w:r>
      <w:r w:rsidRPr="00A507B5">
        <w:rPr>
          <w:b w:val="0"/>
          <w:bCs/>
          <w:szCs w:val="24"/>
        </w:rPr>
        <w:t>v nasledovnom členení:</w:t>
      </w:r>
    </w:p>
    <w:p w:rsidR="00C742B4" w:rsidRPr="00A507B5" w:rsidRDefault="00C742B4" w:rsidP="00C742B4">
      <w:pPr>
        <w:pStyle w:val="Nzev"/>
        <w:numPr>
          <w:ilvl w:val="0"/>
          <w:numId w:val="2"/>
        </w:numPr>
        <w:tabs>
          <w:tab w:val="clear" w:pos="1068"/>
          <w:tab w:val="num" w:pos="720"/>
        </w:tabs>
        <w:ind w:left="720"/>
        <w:jc w:val="both"/>
        <w:rPr>
          <w:b w:val="0"/>
          <w:bCs/>
          <w:szCs w:val="24"/>
        </w:rPr>
      </w:pPr>
      <w:r w:rsidRPr="00A507B5">
        <w:rPr>
          <w:b w:val="0"/>
          <w:bCs/>
          <w:szCs w:val="24"/>
        </w:rPr>
        <w:t xml:space="preserve">príjmy z postúpenia pohľadávok 439 tis. €, </w:t>
      </w:r>
    </w:p>
    <w:p w:rsidR="00C742B4" w:rsidRPr="00A507B5" w:rsidRDefault="00C742B4" w:rsidP="00C742B4">
      <w:pPr>
        <w:pStyle w:val="Nzev"/>
        <w:numPr>
          <w:ilvl w:val="0"/>
          <w:numId w:val="2"/>
        </w:numPr>
        <w:tabs>
          <w:tab w:val="clear" w:pos="1068"/>
          <w:tab w:val="num" w:pos="720"/>
        </w:tabs>
        <w:ind w:left="720"/>
        <w:jc w:val="both"/>
        <w:rPr>
          <w:b w:val="0"/>
          <w:bCs/>
          <w:szCs w:val="24"/>
        </w:rPr>
      </w:pPr>
      <w:r w:rsidRPr="00A507B5">
        <w:rPr>
          <w:b w:val="0"/>
          <w:bCs/>
          <w:szCs w:val="24"/>
        </w:rPr>
        <w:t>príjmy z daňových pohľadávok 5 684 tis. €,</w:t>
      </w:r>
    </w:p>
    <w:p w:rsidR="00C742B4" w:rsidRPr="00A507B5" w:rsidRDefault="00C742B4" w:rsidP="00C742B4">
      <w:pPr>
        <w:pStyle w:val="Nzev"/>
        <w:numPr>
          <w:ilvl w:val="0"/>
          <w:numId w:val="2"/>
        </w:numPr>
        <w:tabs>
          <w:tab w:val="clear" w:pos="1068"/>
          <w:tab w:val="num" w:pos="720"/>
        </w:tabs>
        <w:ind w:left="720"/>
        <w:jc w:val="both"/>
        <w:rPr>
          <w:b w:val="0"/>
          <w:bCs/>
          <w:szCs w:val="24"/>
        </w:rPr>
      </w:pPr>
      <w:r w:rsidRPr="00A507B5">
        <w:rPr>
          <w:b w:val="0"/>
          <w:bCs/>
          <w:szCs w:val="24"/>
        </w:rPr>
        <w:t>príjmy od dlžníkov zo spoločnosti Veriteľ, a.s. 1 377 tis. €,</w:t>
      </w:r>
    </w:p>
    <w:p w:rsidR="00C742B4" w:rsidRPr="00A507B5" w:rsidRDefault="00C742B4" w:rsidP="00C742B4">
      <w:pPr>
        <w:pStyle w:val="Nzev"/>
        <w:numPr>
          <w:ilvl w:val="0"/>
          <w:numId w:val="2"/>
        </w:numPr>
        <w:tabs>
          <w:tab w:val="clear" w:pos="1068"/>
          <w:tab w:val="num" w:pos="720"/>
        </w:tabs>
        <w:ind w:left="720"/>
        <w:jc w:val="both"/>
        <w:rPr>
          <w:b w:val="0"/>
          <w:bCs/>
          <w:szCs w:val="24"/>
        </w:rPr>
      </w:pPr>
      <w:r w:rsidRPr="00A507B5">
        <w:rPr>
          <w:b w:val="0"/>
          <w:bCs/>
          <w:szCs w:val="24"/>
        </w:rPr>
        <w:t xml:space="preserve">príjmy z colných pohľadávok 36 tis. €, </w:t>
      </w:r>
    </w:p>
    <w:p w:rsidR="00C742B4" w:rsidRPr="00A507B5" w:rsidRDefault="00C742B4" w:rsidP="00C742B4">
      <w:pPr>
        <w:pStyle w:val="Nzev"/>
        <w:numPr>
          <w:ilvl w:val="0"/>
          <w:numId w:val="2"/>
        </w:numPr>
        <w:tabs>
          <w:tab w:val="clear" w:pos="1068"/>
          <w:tab w:val="num" w:pos="720"/>
        </w:tabs>
        <w:ind w:left="720"/>
        <w:jc w:val="both"/>
        <w:rPr>
          <w:b w:val="0"/>
          <w:bCs/>
          <w:szCs w:val="24"/>
        </w:rPr>
      </w:pPr>
      <w:r w:rsidRPr="00A507B5">
        <w:rPr>
          <w:b w:val="0"/>
          <w:bCs/>
          <w:szCs w:val="24"/>
        </w:rPr>
        <w:t>príjmy z pohľadávok zo Sociálnej poisťovne 2 468 tis. €,</w:t>
      </w:r>
    </w:p>
    <w:p w:rsidR="00C742B4" w:rsidRPr="00A507B5" w:rsidRDefault="00C742B4" w:rsidP="00C742B4">
      <w:pPr>
        <w:pStyle w:val="Nzev"/>
        <w:numPr>
          <w:ilvl w:val="0"/>
          <w:numId w:val="2"/>
        </w:numPr>
        <w:tabs>
          <w:tab w:val="clear" w:pos="1068"/>
          <w:tab w:val="num" w:pos="720"/>
        </w:tabs>
        <w:ind w:left="720"/>
        <w:jc w:val="both"/>
        <w:rPr>
          <w:b w:val="0"/>
          <w:bCs/>
          <w:szCs w:val="24"/>
        </w:rPr>
      </w:pPr>
      <w:r w:rsidRPr="00A507B5">
        <w:rPr>
          <w:b w:val="0"/>
          <w:bCs/>
          <w:szCs w:val="24"/>
        </w:rPr>
        <w:t>príjmy z pohľadávok prevzatých z policajného zboru 46 tis. €,</w:t>
      </w:r>
    </w:p>
    <w:p w:rsidR="00C742B4" w:rsidRPr="00A507B5" w:rsidRDefault="00C742B4" w:rsidP="00C742B4">
      <w:pPr>
        <w:pStyle w:val="Nzev"/>
        <w:numPr>
          <w:ilvl w:val="0"/>
          <w:numId w:val="2"/>
        </w:numPr>
        <w:tabs>
          <w:tab w:val="clear" w:pos="1068"/>
          <w:tab w:val="num" w:pos="720"/>
        </w:tabs>
        <w:ind w:left="720"/>
        <w:jc w:val="both"/>
        <w:rPr>
          <w:b w:val="0"/>
          <w:bCs/>
          <w:szCs w:val="24"/>
        </w:rPr>
      </w:pPr>
      <w:r w:rsidRPr="00A507B5">
        <w:rPr>
          <w:b w:val="0"/>
          <w:bCs/>
          <w:szCs w:val="24"/>
        </w:rPr>
        <w:t>príjmy z ostatných pohľadávok 1 689 tis. €.</w:t>
      </w:r>
    </w:p>
    <w:p w:rsidR="00C742B4" w:rsidRPr="00A507B5" w:rsidRDefault="00C742B4" w:rsidP="00C742B4">
      <w:pPr>
        <w:pStyle w:val="Nzev"/>
        <w:jc w:val="both"/>
        <w:rPr>
          <w:b w:val="0"/>
          <w:bCs/>
          <w:szCs w:val="24"/>
        </w:rPr>
      </w:pPr>
    </w:p>
    <w:p w:rsidR="00C742B4" w:rsidRPr="00A507B5" w:rsidRDefault="00C742B4" w:rsidP="00C742B4">
      <w:pPr>
        <w:pStyle w:val="Nzev"/>
        <w:jc w:val="both"/>
        <w:rPr>
          <w:b w:val="0"/>
          <w:bCs/>
          <w:szCs w:val="24"/>
        </w:rPr>
      </w:pPr>
      <w:r w:rsidRPr="00A507B5">
        <w:rPr>
          <w:b w:val="0"/>
          <w:bCs/>
          <w:szCs w:val="24"/>
        </w:rPr>
        <w:t xml:space="preserve">Výsledkom hospodárenia spoločnosti k 31.12.2010 bol zisk vo výške 13 624 tis. €. </w:t>
      </w:r>
    </w:p>
    <w:p w:rsidR="00C742B4" w:rsidRPr="00A507B5" w:rsidRDefault="00C742B4" w:rsidP="00C742B4">
      <w:pPr>
        <w:pStyle w:val="Nzev"/>
        <w:jc w:val="both"/>
        <w:rPr>
          <w:b w:val="0"/>
          <w:bCs/>
          <w:szCs w:val="24"/>
        </w:rPr>
      </w:pPr>
    </w:p>
    <w:p w:rsidR="00C742B4" w:rsidRDefault="00C742B4" w:rsidP="00C742B4">
      <w:pPr>
        <w:pStyle w:val="Nzev"/>
        <w:jc w:val="both"/>
        <w:rPr>
          <w:b w:val="0"/>
          <w:bCs/>
          <w:szCs w:val="24"/>
        </w:rPr>
      </w:pPr>
    </w:p>
    <w:p w:rsidR="00C742B4" w:rsidRDefault="00C742B4" w:rsidP="00C742B4">
      <w:pPr>
        <w:pStyle w:val="Nzev"/>
        <w:jc w:val="both"/>
        <w:rPr>
          <w:b w:val="0"/>
          <w:bCs/>
          <w:szCs w:val="24"/>
        </w:rPr>
      </w:pPr>
    </w:p>
    <w:p w:rsidR="00C742B4" w:rsidRPr="00A507B5" w:rsidRDefault="00C742B4" w:rsidP="00C742B4">
      <w:pPr>
        <w:pStyle w:val="Nzev"/>
        <w:jc w:val="both"/>
        <w:rPr>
          <w:b w:val="0"/>
          <w:bCs/>
          <w:szCs w:val="24"/>
        </w:rPr>
      </w:pPr>
    </w:p>
    <w:p w:rsidR="00C742B4" w:rsidRPr="00A507B5" w:rsidRDefault="00C742B4" w:rsidP="00C742B4">
      <w:pPr>
        <w:pStyle w:val="Nzev"/>
        <w:jc w:val="both"/>
        <w:rPr>
          <w:b w:val="0"/>
          <w:bCs/>
          <w:szCs w:val="24"/>
        </w:rPr>
      </w:pPr>
      <w:r w:rsidRPr="00A507B5">
        <w:rPr>
          <w:b w:val="0"/>
          <w:bCs/>
          <w:noProof/>
          <w:szCs w:val="24"/>
        </w:rPr>
        <w:drawing>
          <wp:inline distT="0" distB="0" distL="0" distR="0">
            <wp:extent cx="6096000" cy="3800475"/>
            <wp:effectExtent l="19050" t="0" r="1905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742B4" w:rsidRPr="00A507B5" w:rsidRDefault="00C742B4" w:rsidP="00C742B4">
      <w:pPr>
        <w:pStyle w:val="Nzev"/>
        <w:jc w:val="both"/>
        <w:rPr>
          <w:b w:val="0"/>
          <w:bCs/>
          <w:szCs w:val="24"/>
        </w:rPr>
      </w:pPr>
    </w:p>
    <w:p w:rsidR="00C742B4" w:rsidRPr="00A507B5" w:rsidRDefault="00C742B4" w:rsidP="00C742B4">
      <w:pPr>
        <w:pStyle w:val="Nzev"/>
        <w:jc w:val="both"/>
        <w:rPr>
          <w:szCs w:val="24"/>
        </w:rPr>
      </w:pPr>
    </w:p>
    <w:p w:rsidR="00C742B4" w:rsidRDefault="00C742B4" w:rsidP="00C742B4">
      <w:pPr>
        <w:pStyle w:val="Nzev"/>
        <w:jc w:val="both"/>
        <w:rPr>
          <w:b w:val="0"/>
          <w:bCs/>
          <w:szCs w:val="24"/>
        </w:rPr>
      </w:pPr>
    </w:p>
    <w:p w:rsidR="00C742B4" w:rsidRPr="00A507B5" w:rsidRDefault="00C742B4" w:rsidP="00C742B4">
      <w:pPr>
        <w:pStyle w:val="Nzev"/>
        <w:jc w:val="both"/>
        <w:rPr>
          <w:b w:val="0"/>
          <w:bCs/>
          <w:szCs w:val="24"/>
        </w:rPr>
      </w:pPr>
    </w:p>
    <w:tbl>
      <w:tblPr>
        <w:tblW w:w="0" w:type="auto"/>
        <w:tblCellMar>
          <w:left w:w="70" w:type="dxa"/>
          <w:right w:w="70" w:type="dxa"/>
        </w:tblCellMar>
        <w:tblLook w:val="0000"/>
      </w:tblPr>
      <w:tblGrid>
        <w:gridCol w:w="4605"/>
        <w:gridCol w:w="4605"/>
      </w:tblGrid>
      <w:tr w:rsidR="00C742B4" w:rsidRPr="00A507B5" w:rsidTr="00F74015">
        <w:trPr>
          <w:trHeight w:val="375"/>
        </w:trPr>
        <w:tc>
          <w:tcPr>
            <w:tcW w:w="4605" w:type="dxa"/>
            <w:tcBorders>
              <w:bottom w:val="single" w:sz="4" w:space="0" w:color="auto"/>
            </w:tcBorders>
          </w:tcPr>
          <w:p w:rsidR="00C742B4" w:rsidRPr="00A507B5" w:rsidRDefault="00C742B4" w:rsidP="00F74015">
            <w:pPr>
              <w:pStyle w:val="Nzev"/>
              <w:jc w:val="both"/>
              <w:rPr>
                <w:szCs w:val="24"/>
              </w:rPr>
            </w:pPr>
            <w:r w:rsidRPr="00A507B5">
              <w:rPr>
                <w:szCs w:val="24"/>
              </w:rPr>
              <w:t>Výnosy celkom</w:t>
            </w:r>
          </w:p>
        </w:tc>
        <w:tc>
          <w:tcPr>
            <w:tcW w:w="4605" w:type="dxa"/>
            <w:tcBorders>
              <w:bottom w:val="single" w:sz="4" w:space="0" w:color="auto"/>
            </w:tcBorders>
          </w:tcPr>
          <w:p w:rsidR="00C742B4" w:rsidRPr="00A507B5" w:rsidRDefault="00C742B4" w:rsidP="00F74015">
            <w:pPr>
              <w:jc w:val="both"/>
            </w:pPr>
            <w:r w:rsidRPr="00A507B5">
              <w:rPr>
                <w:b/>
                <w:bCs/>
              </w:rPr>
              <w:t>13 195 tis. €</w:t>
            </w:r>
          </w:p>
        </w:tc>
      </w:tr>
      <w:tr w:rsidR="00C742B4" w:rsidRPr="00A507B5" w:rsidTr="00F74015">
        <w:tc>
          <w:tcPr>
            <w:tcW w:w="4605" w:type="dxa"/>
            <w:tcBorders>
              <w:top w:val="single" w:sz="4" w:space="0" w:color="auto"/>
            </w:tcBorders>
          </w:tcPr>
          <w:p w:rsidR="00C742B4" w:rsidRPr="00A507B5" w:rsidRDefault="00C742B4" w:rsidP="00F74015">
            <w:pPr>
              <w:pStyle w:val="Nzev"/>
              <w:jc w:val="both"/>
              <w:rPr>
                <w:b w:val="0"/>
                <w:bCs/>
                <w:szCs w:val="24"/>
              </w:rPr>
            </w:pPr>
            <w:r w:rsidRPr="00A507B5">
              <w:rPr>
                <w:b w:val="0"/>
                <w:bCs/>
                <w:caps/>
                <w:szCs w:val="24"/>
              </w:rPr>
              <w:t>v</w:t>
            </w:r>
            <w:r w:rsidRPr="00A507B5">
              <w:rPr>
                <w:b w:val="0"/>
                <w:bCs/>
                <w:szCs w:val="24"/>
              </w:rPr>
              <w:t>ýnosy z hospodárskej činnosti</w:t>
            </w:r>
          </w:p>
        </w:tc>
        <w:tc>
          <w:tcPr>
            <w:tcW w:w="4605" w:type="dxa"/>
            <w:tcBorders>
              <w:top w:val="single" w:sz="4" w:space="0" w:color="auto"/>
            </w:tcBorders>
          </w:tcPr>
          <w:p w:rsidR="00C742B4" w:rsidRPr="00A507B5" w:rsidRDefault="00C742B4" w:rsidP="00F74015">
            <w:pPr>
              <w:jc w:val="both"/>
            </w:pPr>
            <w:r w:rsidRPr="00A507B5">
              <w:t>11 794 tis. €</w:t>
            </w:r>
          </w:p>
        </w:tc>
      </w:tr>
      <w:tr w:rsidR="00C742B4" w:rsidRPr="00A507B5" w:rsidTr="00F74015">
        <w:tc>
          <w:tcPr>
            <w:tcW w:w="4605" w:type="dxa"/>
          </w:tcPr>
          <w:p w:rsidR="00C742B4" w:rsidRPr="00A507B5" w:rsidRDefault="00C742B4" w:rsidP="00F74015">
            <w:pPr>
              <w:pStyle w:val="Nzev"/>
              <w:jc w:val="both"/>
              <w:rPr>
                <w:b w:val="0"/>
                <w:bCs/>
                <w:szCs w:val="24"/>
              </w:rPr>
            </w:pPr>
            <w:r w:rsidRPr="00A507B5">
              <w:rPr>
                <w:b w:val="0"/>
                <w:bCs/>
                <w:caps/>
                <w:szCs w:val="24"/>
              </w:rPr>
              <w:t>v</w:t>
            </w:r>
            <w:r w:rsidRPr="00A507B5">
              <w:rPr>
                <w:b w:val="0"/>
                <w:bCs/>
                <w:szCs w:val="24"/>
              </w:rPr>
              <w:t>ýnosy z finančnej činnosti</w:t>
            </w:r>
          </w:p>
        </w:tc>
        <w:tc>
          <w:tcPr>
            <w:tcW w:w="4605" w:type="dxa"/>
          </w:tcPr>
          <w:p w:rsidR="00C742B4" w:rsidRPr="00A507B5" w:rsidRDefault="00C742B4" w:rsidP="00F74015">
            <w:pPr>
              <w:jc w:val="both"/>
            </w:pPr>
            <w:r w:rsidRPr="00A507B5">
              <w:t>1 401 tis. €</w:t>
            </w:r>
          </w:p>
        </w:tc>
      </w:tr>
      <w:tr w:rsidR="00C742B4" w:rsidRPr="00A507B5" w:rsidTr="00F74015">
        <w:tc>
          <w:tcPr>
            <w:tcW w:w="4605" w:type="dxa"/>
            <w:tcBorders>
              <w:bottom w:val="single" w:sz="4" w:space="0" w:color="auto"/>
            </w:tcBorders>
          </w:tcPr>
          <w:p w:rsidR="00C742B4" w:rsidRPr="00A507B5" w:rsidRDefault="00C742B4" w:rsidP="00F74015">
            <w:pPr>
              <w:pStyle w:val="Nzev"/>
              <w:jc w:val="both"/>
              <w:rPr>
                <w:b w:val="0"/>
                <w:bCs/>
                <w:szCs w:val="24"/>
              </w:rPr>
            </w:pPr>
          </w:p>
        </w:tc>
        <w:tc>
          <w:tcPr>
            <w:tcW w:w="4605" w:type="dxa"/>
            <w:tcBorders>
              <w:bottom w:val="single" w:sz="4" w:space="0" w:color="auto"/>
            </w:tcBorders>
          </w:tcPr>
          <w:p w:rsidR="00C742B4" w:rsidRPr="00A507B5" w:rsidRDefault="00C742B4" w:rsidP="00F74015">
            <w:pPr>
              <w:pStyle w:val="Nzev"/>
              <w:jc w:val="both"/>
              <w:rPr>
                <w:b w:val="0"/>
                <w:bCs/>
                <w:szCs w:val="24"/>
              </w:rPr>
            </w:pPr>
          </w:p>
        </w:tc>
      </w:tr>
      <w:tr w:rsidR="00C742B4" w:rsidRPr="00A507B5" w:rsidTr="00F74015">
        <w:trPr>
          <w:trHeight w:val="309"/>
        </w:trPr>
        <w:tc>
          <w:tcPr>
            <w:tcW w:w="4605" w:type="dxa"/>
            <w:tcBorders>
              <w:top w:val="single" w:sz="4" w:space="0" w:color="auto"/>
              <w:bottom w:val="single" w:sz="4" w:space="0" w:color="auto"/>
            </w:tcBorders>
          </w:tcPr>
          <w:p w:rsidR="00C742B4" w:rsidRPr="00A507B5" w:rsidRDefault="00C742B4" w:rsidP="00F74015">
            <w:pPr>
              <w:pStyle w:val="Nzev"/>
              <w:jc w:val="both"/>
              <w:rPr>
                <w:szCs w:val="24"/>
              </w:rPr>
            </w:pPr>
            <w:r w:rsidRPr="00A507B5">
              <w:rPr>
                <w:szCs w:val="24"/>
              </w:rPr>
              <w:t>Náklady celkom</w:t>
            </w:r>
          </w:p>
        </w:tc>
        <w:tc>
          <w:tcPr>
            <w:tcW w:w="4605" w:type="dxa"/>
            <w:tcBorders>
              <w:top w:val="single" w:sz="4" w:space="0" w:color="auto"/>
              <w:bottom w:val="single" w:sz="4" w:space="0" w:color="auto"/>
            </w:tcBorders>
          </w:tcPr>
          <w:p w:rsidR="00C742B4" w:rsidRPr="00A507B5" w:rsidRDefault="00C742B4" w:rsidP="00F74015">
            <w:pPr>
              <w:jc w:val="both"/>
              <w:rPr>
                <w:b/>
                <w:bCs/>
              </w:rPr>
            </w:pPr>
            <w:r w:rsidRPr="00A507B5">
              <w:rPr>
                <w:b/>
                <w:bCs/>
              </w:rPr>
              <w:t>-429 tis. €</w:t>
            </w:r>
          </w:p>
        </w:tc>
      </w:tr>
      <w:tr w:rsidR="00C742B4" w:rsidRPr="00A507B5" w:rsidTr="00F74015">
        <w:tc>
          <w:tcPr>
            <w:tcW w:w="4605" w:type="dxa"/>
            <w:tcBorders>
              <w:top w:val="single" w:sz="4" w:space="0" w:color="auto"/>
            </w:tcBorders>
          </w:tcPr>
          <w:p w:rsidR="00C742B4" w:rsidRPr="00A507B5" w:rsidRDefault="00C742B4" w:rsidP="00F74015">
            <w:pPr>
              <w:pStyle w:val="Nzev"/>
              <w:jc w:val="both"/>
              <w:rPr>
                <w:b w:val="0"/>
                <w:bCs/>
                <w:szCs w:val="24"/>
              </w:rPr>
            </w:pPr>
            <w:r w:rsidRPr="00A507B5">
              <w:rPr>
                <w:b w:val="0"/>
                <w:bCs/>
                <w:caps/>
                <w:szCs w:val="24"/>
              </w:rPr>
              <w:t>n</w:t>
            </w:r>
            <w:r w:rsidRPr="00A507B5">
              <w:rPr>
                <w:b w:val="0"/>
                <w:bCs/>
                <w:szCs w:val="24"/>
              </w:rPr>
              <w:t>áklady z hospodárskej činnosti</w:t>
            </w:r>
          </w:p>
        </w:tc>
        <w:tc>
          <w:tcPr>
            <w:tcW w:w="4605" w:type="dxa"/>
            <w:tcBorders>
              <w:top w:val="single" w:sz="4" w:space="0" w:color="auto"/>
            </w:tcBorders>
          </w:tcPr>
          <w:p w:rsidR="00C742B4" w:rsidRPr="00A507B5" w:rsidRDefault="00C742B4" w:rsidP="00F74015">
            <w:pPr>
              <w:jc w:val="both"/>
            </w:pPr>
            <w:r w:rsidRPr="00A507B5">
              <w:t xml:space="preserve"> -435 tis. €</w:t>
            </w:r>
          </w:p>
        </w:tc>
      </w:tr>
      <w:tr w:rsidR="00C742B4" w:rsidRPr="00A507B5" w:rsidTr="00F74015">
        <w:tc>
          <w:tcPr>
            <w:tcW w:w="4605" w:type="dxa"/>
          </w:tcPr>
          <w:p w:rsidR="00C742B4" w:rsidRPr="00A507B5" w:rsidRDefault="00C742B4" w:rsidP="00F74015">
            <w:pPr>
              <w:pStyle w:val="Nzev"/>
              <w:jc w:val="both"/>
              <w:rPr>
                <w:b w:val="0"/>
                <w:bCs/>
                <w:szCs w:val="24"/>
              </w:rPr>
            </w:pPr>
            <w:r w:rsidRPr="00A507B5">
              <w:rPr>
                <w:b w:val="0"/>
                <w:bCs/>
                <w:szCs w:val="24"/>
              </w:rPr>
              <w:t>v tom: tvorba opravných položiek k pohľadávkam</w:t>
            </w:r>
          </w:p>
        </w:tc>
        <w:tc>
          <w:tcPr>
            <w:tcW w:w="4605" w:type="dxa"/>
          </w:tcPr>
          <w:p w:rsidR="00C742B4" w:rsidRPr="00A507B5" w:rsidRDefault="00C742B4" w:rsidP="00F74015">
            <w:pPr>
              <w:jc w:val="both"/>
            </w:pPr>
            <w:r w:rsidRPr="00A507B5">
              <w:t>994 tis. €</w:t>
            </w:r>
          </w:p>
        </w:tc>
      </w:tr>
      <w:tr w:rsidR="00C742B4" w:rsidRPr="00A507B5" w:rsidTr="00F74015">
        <w:tc>
          <w:tcPr>
            <w:tcW w:w="4605" w:type="dxa"/>
          </w:tcPr>
          <w:p w:rsidR="00C742B4" w:rsidRPr="00A507B5" w:rsidRDefault="00C742B4" w:rsidP="00F74015">
            <w:pPr>
              <w:pStyle w:val="Nzev"/>
              <w:jc w:val="both"/>
              <w:rPr>
                <w:b w:val="0"/>
                <w:bCs/>
                <w:szCs w:val="24"/>
              </w:rPr>
            </w:pPr>
            <w:r w:rsidRPr="00A507B5">
              <w:rPr>
                <w:b w:val="0"/>
                <w:bCs/>
                <w:szCs w:val="24"/>
              </w:rPr>
              <w:t xml:space="preserve">           náklady na vymáhanie pohľadávok</w:t>
            </w:r>
          </w:p>
        </w:tc>
        <w:tc>
          <w:tcPr>
            <w:tcW w:w="4605" w:type="dxa"/>
          </w:tcPr>
          <w:p w:rsidR="00C742B4" w:rsidRPr="00A507B5" w:rsidRDefault="00C742B4" w:rsidP="00F74015">
            <w:pPr>
              <w:jc w:val="both"/>
            </w:pPr>
            <w:r w:rsidRPr="00A507B5">
              <w:t>187 tis. €</w:t>
            </w:r>
          </w:p>
        </w:tc>
      </w:tr>
      <w:tr w:rsidR="00C742B4" w:rsidRPr="00A507B5" w:rsidTr="00F74015">
        <w:tc>
          <w:tcPr>
            <w:tcW w:w="4605" w:type="dxa"/>
          </w:tcPr>
          <w:p w:rsidR="00C742B4" w:rsidRPr="00A507B5" w:rsidRDefault="00C742B4" w:rsidP="00F74015">
            <w:pPr>
              <w:pStyle w:val="Nzev"/>
              <w:jc w:val="both"/>
              <w:rPr>
                <w:b w:val="0"/>
                <w:bCs/>
                <w:szCs w:val="24"/>
              </w:rPr>
            </w:pPr>
            <w:r w:rsidRPr="00A507B5">
              <w:rPr>
                <w:b w:val="0"/>
                <w:bCs/>
                <w:szCs w:val="24"/>
              </w:rPr>
              <w:t xml:space="preserve">           všeobecné prevádzkové náklady</w:t>
            </w:r>
          </w:p>
          <w:p w:rsidR="00C742B4" w:rsidRPr="00A507B5" w:rsidRDefault="00C742B4" w:rsidP="00F74015">
            <w:pPr>
              <w:pStyle w:val="Nzev"/>
              <w:jc w:val="both"/>
              <w:rPr>
                <w:b w:val="0"/>
                <w:bCs/>
                <w:szCs w:val="24"/>
              </w:rPr>
            </w:pPr>
            <w:r w:rsidRPr="00A507B5">
              <w:rPr>
                <w:b w:val="0"/>
                <w:bCs/>
                <w:szCs w:val="24"/>
              </w:rPr>
              <w:t xml:space="preserve">           tvorba dlhodobých rezerv súvisiacich s pohľadávkami</w:t>
            </w:r>
          </w:p>
        </w:tc>
        <w:tc>
          <w:tcPr>
            <w:tcW w:w="4605" w:type="dxa"/>
          </w:tcPr>
          <w:p w:rsidR="00C742B4" w:rsidRPr="00A507B5" w:rsidRDefault="00C742B4" w:rsidP="00F74015">
            <w:pPr>
              <w:jc w:val="both"/>
            </w:pPr>
            <w:r w:rsidRPr="00A507B5">
              <w:t>6 082 tis. €</w:t>
            </w:r>
          </w:p>
          <w:p w:rsidR="00C742B4" w:rsidRPr="00A507B5" w:rsidRDefault="00C742B4" w:rsidP="00F74015">
            <w:pPr>
              <w:jc w:val="both"/>
            </w:pPr>
            <w:r w:rsidRPr="00A507B5">
              <w:t>-7 893 tis. €</w:t>
            </w:r>
          </w:p>
        </w:tc>
      </w:tr>
      <w:tr w:rsidR="00C742B4" w:rsidRPr="00A507B5" w:rsidTr="00F74015">
        <w:tc>
          <w:tcPr>
            <w:tcW w:w="4605" w:type="dxa"/>
          </w:tcPr>
          <w:p w:rsidR="00C742B4" w:rsidRPr="00A507B5" w:rsidRDefault="00C742B4" w:rsidP="00F74015">
            <w:pPr>
              <w:pStyle w:val="Nzev"/>
              <w:jc w:val="both"/>
              <w:rPr>
                <w:b w:val="0"/>
                <w:bCs/>
                <w:szCs w:val="24"/>
              </w:rPr>
            </w:pPr>
          </w:p>
        </w:tc>
        <w:tc>
          <w:tcPr>
            <w:tcW w:w="4605" w:type="dxa"/>
          </w:tcPr>
          <w:p w:rsidR="00C742B4" w:rsidRPr="00A507B5" w:rsidRDefault="00C742B4" w:rsidP="00F74015">
            <w:pPr>
              <w:jc w:val="both"/>
            </w:pPr>
          </w:p>
        </w:tc>
      </w:tr>
      <w:tr w:rsidR="00C742B4" w:rsidRPr="00A507B5" w:rsidTr="00F74015">
        <w:tc>
          <w:tcPr>
            <w:tcW w:w="4605" w:type="dxa"/>
          </w:tcPr>
          <w:p w:rsidR="00C742B4" w:rsidRPr="00A507B5" w:rsidRDefault="00C742B4" w:rsidP="00F74015">
            <w:pPr>
              <w:pStyle w:val="Nzev"/>
              <w:jc w:val="both"/>
              <w:rPr>
                <w:b w:val="0"/>
                <w:bCs/>
                <w:szCs w:val="24"/>
              </w:rPr>
            </w:pPr>
            <w:r w:rsidRPr="00A507B5">
              <w:rPr>
                <w:b w:val="0"/>
                <w:bCs/>
                <w:caps/>
                <w:szCs w:val="24"/>
              </w:rPr>
              <w:t>n</w:t>
            </w:r>
            <w:r w:rsidRPr="00A507B5">
              <w:rPr>
                <w:b w:val="0"/>
                <w:bCs/>
                <w:szCs w:val="24"/>
              </w:rPr>
              <w:t>áklady z finančnej činnosti</w:t>
            </w:r>
          </w:p>
        </w:tc>
        <w:tc>
          <w:tcPr>
            <w:tcW w:w="4605" w:type="dxa"/>
          </w:tcPr>
          <w:p w:rsidR="00C742B4" w:rsidRPr="00A507B5" w:rsidRDefault="00C742B4" w:rsidP="00F74015">
            <w:pPr>
              <w:jc w:val="both"/>
            </w:pPr>
            <w:r w:rsidRPr="00A507B5">
              <w:t>6 tis. €</w:t>
            </w:r>
          </w:p>
        </w:tc>
      </w:tr>
      <w:tr w:rsidR="00C742B4" w:rsidRPr="00A507B5" w:rsidTr="00F74015">
        <w:tc>
          <w:tcPr>
            <w:tcW w:w="4605" w:type="dxa"/>
          </w:tcPr>
          <w:p w:rsidR="00C742B4" w:rsidRPr="00A507B5" w:rsidRDefault="00C742B4" w:rsidP="00F74015">
            <w:pPr>
              <w:pStyle w:val="Nzev"/>
              <w:jc w:val="both"/>
              <w:rPr>
                <w:b w:val="0"/>
                <w:bCs/>
                <w:szCs w:val="24"/>
              </w:rPr>
            </w:pPr>
            <w:r w:rsidRPr="00A507B5">
              <w:rPr>
                <w:b w:val="0"/>
                <w:bCs/>
                <w:szCs w:val="24"/>
              </w:rPr>
              <w:t>Daň z príjmov z bežnej činnosti</w:t>
            </w:r>
          </w:p>
        </w:tc>
        <w:tc>
          <w:tcPr>
            <w:tcW w:w="4605" w:type="dxa"/>
          </w:tcPr>
          <w:p w:rsidR="00C742B4" w:rsidRPr="00A507B5" w:rsidRDefault="00C742B4" w:rsidP="00F74015">
            <w:pPr>
              <w:jc w:val="both"/>
            </w:pPr>
            <w:r w:rsidRPr="00A507B5">
              <w:t>-</w:t>
            </w:r>
          </w:p>
        </w:tc>
      </w:tr>
      <w:tr w:rsidR="00C742B4" w:rsidRPr="00A507B5" w:rsidTr="00F74015">
        <w:tc>
          <w:tcPr>
            <w:tcW w:w="4605" w:type="dxa"/>
            <w:tcBorders>
              <w:bottom w:val="single" w:sz="4" w:space="0" w:color="auto"/>
            </w:tcBorders>
          </w:tcPr>
          <w:p w:rsidR="00C742B4" w:rsidRPr="00A507B5" w:rsidRDefault="00C742B4" w:rsidP="00F74015">
            <w:pPr>
              <w:pStyle w:val="Nzev"/>
              <w:jc w:val="both"/>
              <w:rPr>
                <w:b w:val="0"/>
                <w:bCs/>
                <w:szCs w:val="24"/>
              </w:rPr>
            </w:pPr>
          </w:p>
        </w:tc>
        <w:tc>
          <w:tcPr>
            <w:tcW w:w="4605" w:type="dxa"/>
            <w:tcBorders>
              <w:bottom w:val="single" w:sz="4" w:space="0" w:color="auto"/>
            </w:tcBorders>
          </w:tcPr>
          <w:p w:rsidR="00C742B4" w:rsidRPr="00A507B5" w:rsidRDefault="00C742B4" w:rsidP="00F74015">
            <w:pPr>
              <w:pStyle w:val="Nzev"/>
              <w:jc w:val="both"/>
              <w:rPr>
                <w:b w:val="0"/>
                <w:bCs/>
                <w:szCs w:val="24"/>
              </w:rPr>
            </w:pPr>
          </w:p>
        </w:tc>
      </w:tr>
      <w:tr w:rsidR="00C742B4" w:rsidRPr="00A507B5" w:rsidTr="00F74015">
        <w:tc>
          <w:tcPr>
            <w:tcW w:w="4605" w:type="dxa"/>
            <w:tcBorders>
              <w:top w:val="single" w:sz="4" w:space="0" w:color="auto"/>
            </w:tcBorders>
          </w:tcPr>
          <w:p w:rsidR="00C742B4" w:rsidRPr="00A507B5" w:rsidRDefault="00C742B4" w:rsidP="00F74015">
            <w:pPr>
              <w:pStyle w:val="Nzev"/>
              <w:jc w:val="both"/>
              <w:rPr>
                <w:b w:val="0"/>
                <w:bCs/>
                <w:szCs w:val="24"/>
              </w:rPr>
            </w:pPr>
            <w:r w:rsidRPr="00A507B5">
              <w:rPr>
                <w:b w:val="0"/>
                <w:bCs/>
                <w:szCs w:val="24"/>
              </w:rPr>
              <w:t>Výsledok hospodárenia z hosp. činnosti</w:t>
            </w:r>
          </w:p>
        </w:tc>
        <w:tc>
          <w:tcPr>
            <w:tcW w:w="4605" w:type="dxa"/>
            <w:tcBorders>
              <w:top w:val="single" w:sz="4" w:space="0" w:color="auto"/>
            </w:tcBorders>
          </w:tcPr>
          <w:p w:rsidR="00C742B4" w:rsidRPr="00A507B5" w:rsidRDefault="00C742B4" w:rsidP="00F74015">
            <w:pPr>
              <w:jc w:val="both"/>
            </w:pPr>
            <w:r w:rsidRPr="00A507B5">
              <w:t>12 229 tis. €</w:t>
            </w:r>
          </w:p>
        </w:tc>
      </w:tr>
      <w:tr w:rsidR="00C742B4" w:rsidRPr="00A507B5" w:rsidTr="00F74015">
        <w:tc>
          <w:tcPr>
            <w:tcW w:w="4605" w:type="dxa"/>
          </w:tcPr>
          <w:p w:rsidR="00C742B4" w:rsidRPr="00A507B5" w:rsidRDefault="00C742B4" w:rsidP="00F74015">
            <w:pPr>
              <w:pStyle w:val="Nzev"/>
              <w:jc w:val="both"/>
              <w:rPr>
                <w:b w:val="0"/>
                <w:bCs/>
                <w:szCs w:val="24"/>
              </w:rPr>
            </w:pPr>
            <w:r w:rsidRPr="00A507B5">
              <w:rPr>
                <w:b w:val="0"/>
                <w:bCs/>
                <w:szCs w:val="24"/>
              </w:rPr>
              <w:t>Výsledok hospodárenia z fin. činnosti</w:t>
            </w:r>
          </w:p>
        </w:tc>
        <w:tc>
          <w:tcPr>
            <w:tcW w:w="4605" w:type="dxa"/>
          </w:tcPr>
          <w:p w:rsidR="00C742B4" w:rsidRPr="00A507B5" w:rsidRDefault="00C742B4" w:rsidP="00F74015">
            <w:pPr>
              <w:jc w:val="both"/>
            </w:pPr>
            <w:r w:rsidRPr="00A507B5">
              <w:t>1 395 tis. €</w:t>
            </w:r>
          </w:p>
        </w:tc>
      </w:tr>
      <w:tr w:rsidR="00C742B4" w:rsidRPr="00A507B5" w:rsidTr="00F74015">
        <w:tc>
          <w:tcPr>
            <w:tcW w:w="4605" w:type="dxa"/>
            <w:tcBorders>
              <w:bottom w:val="single" w:sz="4" w:space="0" w:color="auto"/>
            </w:tcBorders>
          </w:tcPr>
          <w:p w:rsidR="00C742B4" w:rsidRPr="00A507B5" w:rsidRDefault="00C742B4" w:rsidP="00F74015">
            <w:pPr>
              <w:pStyle w:val="Nzev"/>
              <w:jc w:val="both"/>
              <w:rPr>
                <w:szCs w:val="24"/>
              </w:rPr>
            </w:pPr>
          </w:p>
        </w:tc>
        <w:tc>
          <w:tcPr>
            <w:tcW w:w="4605" w:type="dxa"/>
            <w:tcBorders>
              <w:bottom w:val="single" w:sz="4" w:space="0" w:color="auto"/>
            </w:tcBorders>
          </w:tcPr>
          <w:p w:rsidR="00C742B4" w:rsidRPr="00A507B5" w:rsidRDefault="00C742B4" w:rsidP="00F74015">
            <w:pPr>
              <w:pStyle w:val="Nzev"/>
              <w:jc w:val="both"/>
              <w:rPr>
                <w:b w:val="0"/>
                <w:bCs/>
                <w:szCs w:val="24"/>
              </w:rPr>
            </w:pPr>
          </w:p>
        </w:tc>
      </w:tr>
      <w:tr w:rsidR="00C742B4" w:rsidRPr="00A507B5" w:rsidTr="00F74015">
        <w:tc>
          <w:tcPr>
            <w:tcW w:w="4605" w:type="dxa"/>
            <w:tcBorders>
              <w:top w:val="single" w:sz="4" w:space="0" w:color="auto"/>
            </w:tcBorders>
          </w:tcPr>
          <w:p w:rsidR="00C742B4" w:rsidRPr="00A507B5" w:rsidRDefault="00C742B4" w:rsidP="00F74015">
            <w:pPr>
              <w:pStyle w:val="Nzev"/>
              <w:jc w:val="both"/>
              <w:rPr>
                <w:szCs w:val="24"/>
              </w:rPr>
            </w:pPr>
            <w:r w:rsidRPr="00A507B5">
              <w:rPr>
                <w:b w:val="0"/>
                <w:bCs/>
                <w:szCs w:val="24"/>
              </w:rPr>
              <w:t>Výsledok hospodárenia z bežnej činnosti</w:t>
            </w:r>
          </w:p>
        </w:tc>
        <w:tc>
          <w:tcPr>
            <w:tcW w:w="4605" w:type="dxa"/>
            <w:tcBorders>
              <w:top w:val="single" w:sz="4" w:space="0" w:color="auto"/>
            </w:tcBorders>
          </w:tcPr>
          <w:p w:rsidR="00C742B4" w:rsidRPr="00A507B5" w:rsidRDefault="00C742B4" w:rsidP="00F74015">
            <w:pPr>
              <w:pStyle w:val="Nzev"/>
              <w:jc w:val="both"/>
              <w:rPr>
                <w:b w:val="0"/>
                <w:bCs/>
                <w:szCs w:val="24"/>
              </w:rPr>
            </w:pPr>
            <w:r w:rsidRPr="00A507B5">
              <w:rPr>
                <w:b w:val="0"/>
                <w:bCs/>
                <w:szCs w:val="24"/>
              </w:rPr>
              <w:t>13 624 tis. €</w:t>
            </w:r>
          </w:p>
        </w:tc>
      </w:tr>
      <w:tr w:rsidR="00C742B4" w:rsidRPr="00A507B5" w:rsidTr="00F74015">
        <w:tc>
          <w:tcPr>
            <w:tcW w:w="4605" w:type="dxa"/>
            <w:tcBorders>
              <w:bottom w:val="single" w:sz="4" w:space="0" w:color="auto"/>
            </w:tcBorders>
          </w:tcPr>
          <w:p w:rsidR="00C742B4" w:rsidRPr="00A507B5" w:rsidRDefault="00C742B4" w:rsidP="00F74015">
            <w:pPr>
              <w:pStyle w:val="Nzev"/>
              <w:jc w:val="both"/>
              <w:rPr>
                <w:b w:val="0"/>
                <w:bCs/>
                <w:szCs w:val="24"/>
              </w:rPr>
            </w:pPr>
          </w:p>
        </w:tc>
        <w:tc>
          <w:tcPr>
            <w:tcW w:w="4605" w:type="dxa"/>
            <w:tcBorders>
              <w:bottom w:val="single" w:sz="4" w:space="0" w:color="auto"/>
            </w:tcBorders>
          </w:tcPr>
          <w:p w:rsidR="00C742B4" w:rsidRPr="00A507B5" w:rsidRDefault="00C742B4" w:rsidP="00F74015">
            <w:pPr>
              <w:pStyle w:val="Nzev"/>
              <w:jc w:val="both"/>
              <w:rPr>
                <w:b w:val="0"/>
                <w:bCs/>
                <w:szCs w:val="24"/>
              </w:rPr>
            </w:pPr>
          </w:p>
        </w:tc>
      </w:tr>
      <w:tr w:rsidR="00C742B4" w:rsidRPr="00A507B5" w:rsidTr="00F74015">
        <w:tc>
          <w:tcPr>
            <w:tcW w:w="4605" w:type="dxa"/>
            <w:tcBorders>
              <w:top w:val="single" w:sz="4" w:space="0" w:color="auto"/>
            </w:tcBorders>
          </w:tcPr>
          <w:p w:rsidR="00C742B4" w:rsidRPr="00A507B5" w:rsidRDefault="00C742B4" w:rsidP="00F74015">
            <w:pPr>
              <w:pStyle w:val="Nzev"/>
              <w:jc w:val="both"/>
              <w:rPr>
                <w:b w:val="0"/>
                <w:bCs/>
                <w:szCs w:val="24"/>
              </w:rPr>
            </w:pPr>
            <w:r w:rsidRPr="00A507B5">
              <w:rPr>
                <w:b w:val="0"/>
                <w:bCs/>
                <w:szCs w:val="24"/>
              </w:rPr>
              <w:t>Výsledok hospodárenia z </w:t>
            </w:r>
            <w:proofErr w:type="spellStart"/>
            <w:r w:rsidRPr="00A507B5">
              <w:rPr>
                <w:b w:val="0"/>
                <w:bCs/>
                <w:szCs w:val="24"/>
              </w:rPr>
              <w:t>mimor</w:t>
            </w:r>
            <w:proofErr w:type="spellEnd"/>
            <w:r w:rsidRPr="00A507B5">
              <w:rPr>
                <w:b w:val="0"/>
                <w:bCs/>
                <w:szCs w:val="24"/>
              </w:rPr>
              <w:t>. činnosti</w:t>
            </w:r>
          </w:p>
        </w:tc>
        <w:tc>
          <w:tcPr>
            <w:tcW w:w="4605" w:type="dxa"/>
            <w:tcBorders>
              <w:top w:val="single" w:sz="4" w:space="0" w:color="auto"/>
            </w:tcBorders>
          </w:tcPr>
          <w:p w:rsidR="00C742B4" w:rsidRPr="00A507B5" w:rsidRDefault="00C742B4" w:rsidP="00F74015">
            <w:pPr>
              <w:jc w:val="both"/>
            </w:pPr>
            <w:r w:rsidRPr="00A507B5">
              <w:t>0 tis. €</w:t>
            </w:r>
          </w:p>
        </w:tc>
      </w:tr>
      <w:tr w:rsidR="00C742B4" w:rsidRPr="00A507B5" w:rsidTr="00F74015">
        <w:tc>
          <w:tcPr>
            <w:tcW w:w="4605" w:type="dxa"/>
            <w:tcBorders>
              <w:bottom w:val="single" w:sz="4" w:space="0" w:color="auto"/>
            </w:tcBorders>
          </w:tcPr>
          <w:p w:rsidR="00C742B4" w:rsidRPr="00A507B5" w:rsidRDefault="00C742B4" w:rsidP="00F74015">
            <w:pPr>
              <w:pStyle w:val="Nzev"/>
              <w:jc w:val="both"/>
              <w:rPr>
                <w:b w:val="0"/>
                <w:bCs/>
                <w:szCs w:val="24"/>
              </w:rPr>
            </w:pPr>
          </w:p>
        </w:tc>
        <w:tc>
          <w:tcPr>
            <w:tcW w:w="4605" w:type="dxa"/>
            <w:tcBorders>
              <w:bottom w:val="single" w:sz="4" w:space="0" w:color="auto"/>
            </w:tcBorders>
          </w:tcPr>
          <w:p w:rsidR="00C742B4" w:rsidRPr="00A507B5" w:rsidRDefault="00C742B4" w:rsidP="00F74015">
            <w:pPr>
              <w:pStyle w:val="Nzev"/>
              <w:jc w:val="both"/>
              <w:rPr>
                <w:b w:val="0"/>
                <w:bCs/>
                <w:szCs w:val="24"/>
              </w:rPr>
            </w:pPr>
          </w:p>
        </w:tc>
      </w:tr>
      <w:tr w:rsidR="00C742B4" w:rsidRPr="00A507B5" w:rsidTr="00F74015">
        <w:tc>
          <w:tcPr>
            <w:tcW w:w="4605" w:type="dxa"/>
            <w:tcBorders>
              <w:top w:val="single" w:sz="4" w:space="0" w:color="auto"/>
            </w:tcBorders>
          </w:tcPr>
          <w:p w:rsidR="00C742B4" w:rsidRPr="00A507B5" w:rsidRDefault="00C742B4" w:rsidP="00F74015">
            <w:pPr>
              <w:pStyle w:val="Nzev"/>
              <w:jc w:val="both"/>
              <w:rPr>
                <w:szCs w:val="24"/>
              </w:rPr>
            </w:pPr>
            <w:r w:rsidRPr="00A507B5">
              <w:rPr>
                <w:szCs w:val="24"/>
              </w:rPr>
              <w:t>Výsledok hospodárenia za účtovné obdobie</w:t>
            </w:r>
          </w:p>
        </w:tc>
        <w:tc>
          <w:tcPr>
            <w:tcW w:w="4605" w:type="dxa"/>
            <w:tcBorders>
              <w:top w:val="single" w:sz="4" w:space="0" w:color="auto"/>
            </w:tcBorders>
          </w:tcPr>
          <w:p w:rsidR="00C742B4" w:rsidRPr="00A507B5" w:rsidRDefault="00C742B4" w:rsidP="00F74015">
            <w:pPr>
              <w:pStyle w:val="Nzev"/>
              <w:jc w:val="both"/>
              <w:rPr>
                <w:szCs w:val="24"/>
              </w:rPr>
            </w:pPr>
            <w:r w:rsidRPr="00A507B5">
              <w:rPr>
                <w:szCs w:val="24"/>
              </w:rPr>
              <w:t>13 624 tis. €</w:t>
            </w:r>
          </w:p>
        </w:tc>
      </w:tr>
    </w:tbl>
    <w:p w:rsidR="00C742B4" w:rsidRPr="00A507B5" w:rsidRDefault="00C742B4" w:rsidP="00C742B4">
      <w:pPr>
        <w:pStyle w:val="Zkladntext"/>
        <w:ind w:firstLine="708"/>
        <w:jc w:val="both"/>
      </w:pPr>
    </w:p>
    <w:p w:rsidR="00C742B4" w:rsidRPr="00A507B5" w:rsidRDefault="00C742B4" w:rsidP="00C742B4">
      <w:pPr>
        <w:pStyle w:val="Zkladntext"/>
        <w:ind w:firstLine="708"/>
        <w:jc w:val="both"/>
      </w:pPr>
    </w:p>
    <w:p w:rsidR="00C742B4" w:rsidRDefault="00C742B4" w:rsidP="00C742B4">
      <w:pPr>
        <w:jc w:val="both"/>
      </w:pPr>
      <w:r>
        <w:t>Riadne valné zhromaždenie schválilo zámer dosiahnuť  v roku 2010 zisk a predbežne rozhodlo, že v prípade naplnenia tohto zámeru bude dosiahnutý zisk použitý hlavne na vyplatenie dividendy akcionárovi a na doplnenie sociálneho fondu. SK, a.s. tento zámer splnila. Rozhodnutie o definitívnom rozdelení zisku bude vykonané na riadnom valnom zhromaždení v roku 2011.</w:t>
      </w:r>
    </w:p>
    <w:p w:rsidR="00C742B4" w:rsidRPr="00A507B5" w:rsidRDefault="00C742B4" w:rsidP="00C742B4">
      <w:pPr>
        <w:pStyle w:val="Nzev"/>
        <w:jc w:val="both"/>
        <w:rPr>
          <w:b w:val="0"/>
          <w:bCs/>
          <w:szCs w:val="24"/>
        </w:rPr>
      </w:pPr>
    </w:p>
    <w:p w:rsidR="00C742B4" w:rsidRPr="00A507B5" w:rsidRDefault="00C742B4" w:rsidP="00C742B4">
      <w:pPr>
        <w:pStyle w:val="nzov1"/>
        <w:rPr>
          <w:color w:val="00B050"/>
          <w:szCs w:val="28"/>
        </w:rPr>
      </w:pPr>
      <w:r w:rsidRPr="00A507B5">
        <w:rPr>
          <w:b w:val="0"/>
          <w:sz w:val="24"/>
        </w:rPr>
        <w:br w:type="page"/>
      </w:r>
      <w:bookmarkStart w:id="15" w:name="_Toc289692064"/>
      <w:bookmarkEnd w:id="14"/>
      <w:r w:rsidRPr="00A507B5">
        <w:rPr>
          <w:color w:val="00B050"/>
          <w:szCs w:val="28"/>
        </w:rPr>
        <w:lastRenderedPageBreak/>
        <w:t>3.2 Štruktúra majetku a zdroje jeho krytia</w:t>
      </w:r>
      <w:bookmarkEnd w:id="15"/>
    </w:p>
    <w:p w:rsidR="00C742B4" w:rsidRPr="00A507B5" w:rsidRDefault="00C742B4" w:rsidP="00C742B4">
      <w:pPr>
        <w:pStyle w:val="Zkladntextodsazen"/>
        <w:ind w:left="0"/>
        <w:jc w:val="both"/>
      </w:pPr>
      <w:bookmarkStart w:id="16" w:name="_Toc132424057"/>
    </w:p>
    <w:p w:rsidR="00C742B4" w:rsidRPr="00A507B5" w:rsidRDefault="00C742B4" w:rsidP="00C742B4">
      <w:pPr>
        <w:pStyle w:val="Zkladntextodsazen"/>
        <w:ind w:left="0"/>
        <w:jc w:val="both"/>
      </w:pPr>
      <w:r w:rsidRPr="00A507B5">
        <w:t>Celková brutto bilančná hodnota majetku SK, a.s. predstavovala k </w:t>
      </w:r>
      <w:proofErr w:type="spellStart"/>
      <w:r w:rsidRPr="00A507B5">
        <w:t>ultimu</w:t>
      </w:r>
      <w:proofErr w:type="spellEnd"/>
      <w:r w:rsidRPr="00A507B5">
        <w:t xml:space="preserve"> hodnoteného obdobia výšku 654 363 tis. €. Po korekcii </w:t>
      </w:r>
      <w:r>
        <w:t xml:space="preserve">oprávkami a </w:t>
      </w:r>
      <w:r w:rsidRPr="00A507B5">
        <w:t xml:space="preserve">opravnými položkami v objeme 574 071 tis. € dosiahla výsledná netto bilančná hodnota výšku 80 292 tis. €. </w:t>
      </w:r>
    </w:p>
    <w:p w:rsidR="00C742B4" w:rsidRPr="00A507B5" w:rsidRDefault="00C742B4" w:rsidP="00C742B4">
      <w:pPr>
        <w:jc w:val="both"/>
        <w:rPr>
          <w:szCs w:val="20"/>
        </w:rPr>
      </w:pPr>
    </w:p>
    <w:p w:rsidR="00C742B4" w:rsidRPr="00A507B5" w:rsidRDefault="00C742B4" w:rsidP="00C742B4">
      <w:pPr>
        <w:pStyle w:val="Zkladntext"/>
        <w:jc w:val="both"/>
      </w:pPr>
      <w:r w:rsidRPr="00A507B5">
        <w:t xml:space="preserve">SK, a. s. spravovala k 31.12.2010 portfólio pohľadávok v celkovej bilančnej brutto hodnote 186 957 tis. €.  </w:t>
      </w:r>
    </w:p>
    <w:p w:rsidR="00C742B4" w:rsidRPr="00A507B5" w:rsidRDefault="00C742B4" w:rsidP="00C742B4">
      <w:pPr>
        <w:pStyle w:val="Zkladntext"/>
        <w:jc w:val="both"/>
      </w:pPr>
    </w:p>
    <w:p w:rsidR="00C742B4" w:rsidRPr="00A507B5" w:rsidRDefault="00C742B4" w:rsidP="00C742B4">
      <w:pPr>
        <w:pStyle w:val="Zkladntext"/>
        <w:jc w:val="both"/>
      </w:pPr>
      <w:r w:rsidRPr="00A507B5">
        <w:t>Brutto hodnota dlhodobého hmotného a nehmotného majetku v objeme 389 214 tis. € je tvorená predovšetkým prevzatým záporným vlastným imaním KBB, </w:t>
      </w:r>
      <w:proofErr w:type="spellStart"/>
      <w:r w:rsidRPr="00A507B5">
        <w:t>š.p.ú</w:t>
      </w:r>
      <w:proofErr w:type="spellEnd"/>
      <w:r w:rsidRPr="00A507B5">
        <w:t>., ktoré je korigované opravnou položkou k tomuto nadobudnutému majetku. Táto bola vytvorená ešte v roku 2002, a to vo výške 382 534 tis. €, pričom sa rozpúš</w:t>
      </w:r>
      <w:r>
        <w:t>ťa pravidelne počas 15 rokov do </w:t>
      </w:r>
      <w:r w:rsidRPr="00A507B5">
        <w:t>nákladov.</w:t>
      </w:r>
    </w:p>
    <w:p w:rsidR="00C742B4" w:rsidRPr="00A507B5" w:rsidRDefault="00C742B4" w:rsidP="00C742B4">
      <w:pPr>
        <w:pStyle w:val="Nzev"/>
        <w:ind w:firstLine="708"/>
        <w:jc w:val="both"/>
        <w:rPr>
          <w:b w:val="0"/>
          <w:bCs/>
        </w:rPr>
      </w:pPr>
    </w:p>
    <w:tbl>
      <w:tblPr>
        <w:tblW w:w="8620" w:type="dxa"/>
        <w:tblLayout w:type="fixed"/>
        <w:tblCellMar>
          <w:left w:w="0" w:type="dxa"/>
          <w:right w:w="0" w:type="dxa"/>
        </w:tblCellMar>
        <w:tblLook w:val="0000"/>
      </w:tblPr>
      <w:tblGrid>
        <w:gridCol w:w="3052"/>
        <w:gridCol w:w="2713"/>
        <w:gridCol w:w="2855"/>
      </w:tblGrid>
      <w:tr w:rsidR="00C742B4" w:rsidRPr="00A507B5" w:rsidTr="00F74015">
        <w:trPr>
          <w:trHeight w:val="645"/>
        </w:trPr>
        <w:tc>
          <w:tcPr>
            <w:tcW w:w="3052" w:type="dxa"/>
            <w:tcBorders>
              <w:top w:val="single" w:sz="4" w:space="0" w:color="auto"/>
              <w:left w:val="single" w:sz="4" w:space="0" w:color="auto"/>
              <w:bottom w:val="single" w:sz="4" w:space="0" w:color="auto"/>
              <w:right w:val="single" w:sz="4" w:space="0" w:color="auto"/>
            </w:tcBorders>
            <w:noWrap/>
            <w:vAlign w:val="center"/>
          </w:tcPr>
          <w:p w:rsidR="00C742B4" w:rsidRPr="00A507B5" w:rsidRDefault="00C742B4" w:rsidP="00F74015">
            <w:pPr>
              <w:jc w:val="both"/>
              <w:rPr>
                <w:rFonts w:eastAsia="Arial Unicode MS"/>
                <w:b/>
                <w:bCs/>
              </w:rPr>
            </w:pPr>
            <w:r w:rsidRPr="00A507B5">
              <w:rPr>
                <w:b/>
                <w:bCs/>
              </w:rPr>
              <w:t>Druh majetku</w:t>
            </w:r>
          </w:p>
        </w:tc>
        <w:tc>
          <w:tcPr>
            <w:tcW w:w="2713" w:type="dxa"/>
            <w:tcBorders>
              <w:top w:val="single" w:sz="4" w:space="0" w:color="auto"/>
              <w:left w:val="single" w:sz="4" w:space="0" w:color="auto"/>
              <w:bottom w:val="single" w:sz="4" w:space="0" w:color="auto"/>
              <w:right w:val="single" w:sz="4" w:space="0" w:color="auto"/>
            </w:tcBorders>
            <w:vAlign w:val="center"/>
          </w:tcPr>
          <w:p w:rsidR="00C742B4" w:rsidRPr="00A507B5" w:rsidRDefault="00C742B4" w:rsidP="00F74015">
            <w:pPr>
              <w:jc w:val="both"/>
              <w:rPr>
                <w:rFonts w:eastAsia="Arial Unicode MS"/>
                <w:b/>
                <w:bCs/>
              </w:rPr>
            </w:pPr>
            <w:r w:rsidRPr="00A507B5">
              <w:rPr>
                <w:b/>
                <w:bCs/>
              </w:rPr>
              <w:t>Zostatková netto hodnota  k 31.12.2010 (tis. €)</w:t>
            </w:r>
          </w:p>
        </w:tc>
        <w:tc>
          <w:tcPr>
            <w:tcW w:w="2855" w:type="dxa"/>
            <w:tcBorders>
              <w:top w:val="single" w:sz="4" w:space="0" w:color="auto"/>
              <w:left w:val="single" w:sz="4" w:space="0" w:color="auto"/>
              <w:bottom w:val="single" w:sz="4" w:space="0" w:color="auto"/>
              <w:right w:val="single" w:sz="4" w:space="0" w:color="auto"/>
            </w:tcBorders>
            <w:noWrap/>
            <w:vAlign w:val="center"/>
          </w:tcPr>
          <w:p w:rsidR="00C742B4" w:rsidRPr="00A507B5" w:rsidRDefault="00C742B4" w:rsidP="00F74015">
            <w:pPr>
              <w:jc w:val="both"/>
              <w:rPr>
                <w:rFonts w:eastAsia="Arial Unicode MS"/>
                <w:b/>
                <w:bCs/>
              </w:rPr>
            </w:pPr>
            <w:r w:rsidRPr="00A507B5">
              <w:rPr>
                <w:b/>
                <w:bCs/>
              </w:rPr>
              <w:t>Štruktúra majetku (%)</w:t>
            </w:r>
          </w:p>
        </w:tc>
      </w:tr>
      <w:tr w:rsidR="00C742B4" w:rsidRPr="00A507B5" w:rsidTr="00F74015">
        <w:trPr>
          <w:trHeight w:val="255"/>
        </w:trPr>
        <w:tc>
          <w:tcPr>
            <w:tcW w:w="3052" w:type="dxa"/>
            <w:tcBorders>
              <w:top w:val="nil"/>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r w:rsidRPr="00A507B5">
              <w:t>Dlhodobý hmotný majetok</w:t>
            </w:r>
          </w:p>
        </w:tc>
        <w:tc>
          <w:tcPr>
            <w:tcW w:w="2713" w:type="dxa"/>
            <w:tcBorders>
              <w:top w:val="single" w:sz="4" w:space="0" w:color="auto"/>
              <w:left w:val="single" w:sz="4" w:space="0" w:color="auto"/>
              <w:right w:val="single" w:sz="4" w:space="0" w:color="auto"/>
            </w:tcBorders>
            <w:noWrap/>
            <w:vAlign w:val="bottom"/>
          </w:tcPr>
          <w:p w:rsidR="00C742B4" w:rsidRPr="00A507B5" w:rsidRDefault="00C742B4" w:rsidP="00F74015">
            <w:pPr>
              <w:jc w:val="both"/>
              <w:rPr>
                <w:rFonts w:eastAsia="Arial Unicode MS"/>
              </w:rPr>
            </w:pPr>
            <w:r w:rsidRPr="00A507B5">
              <w:rPr>
                <w:rFonts w:eastAsia="Arial Unicode MS"/>
              </w:rPr>
              <w:t>1 695,5</w:t>
            </w:r>
          </w:p>
        </w:tc>
        <w:tc>
          <w:tcPr>
            <w:tcW w:w="2855" w:type="dxa"/>
            <w:tcBorders>
              <w:top w:val="nil"/>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r w:rsidRPr="00A507B5">
              <w:t>2,11%</w:t>
            </w:r>
          </w:p>
        </w:tc>
      </w:tr>
      <w:tr w:rsidR="00C742B4" w:rsidRPr="00A507B5" w:rsidTr="00F74015">
        <w:trPr>
          <w:trHeight w:val="255"/>
        </w:trPr>
        <w:tc>
          <w:tcPr>
            <w:tcW w:w="3052" w:type="dxa"/>
            <w:tcBorders>
              <w:top w:val="nil"/>
              <w:left w:val="single" w:sz="4" w:space="0" w:color="auto"/>
              <w:right w:val="single" w:sz="4" w:space="0" w:color="auto"/>
            </w:tcBorders>
            <w:noWrap/>
            <w:vAlign w:val="bottom"/>
          </w:tcPr>
          <w:p w:rsidR="00C742B4" w:rsidRPr="00A507B5" w:rsidRDefault="00C742B4" w:rsidP="00F74015">
            <w:pPr>
              <w:jc w:val="both"/>
              <w:rPr>
                <w:rFonts w:eastAsia="Arial Unicode MS"/>
              </w:rPr>
            </w:pPr>
            <w:r w:rsidRPr="00A507B5">
              <w:t>Dlhodobý nehmotný majetok</w:t>
            </w:r>
          </w:p>
        </w:tc>
        <w:tc>
          <w:tcPr>
            <w:tcW w:w="2713" w:type="dxa"/>
            <w:tcBorders>
              <w:left w:val="single" w:sz="4" w:space="0" w:color="auto"/>
              <w:right w:val="single" w:sz="4" w:space="0" w:color="auto"/>
            </w:tcBorders>
            <w:noWrap/>
            <w:vAlign w:val="bottom"/>
          </w:tcPr>
          <w:p w:rsidR="00C742B4" w:rsidRPr="00A507B5" w:rsidRDefault="00C742B4" w:rsidP="00F74015">
            <w:pPr>
              <w:jc w:val="both"/>
              <w:rPr>
                <w:rFonts w:eastAsia="Arial Unicode MS"/>
              </w:rPr>
            </w:pPr>
            <w:r w:rsidRPr="00A507B5">
              <w:rPr>
                <w:rFonts w:eastAsia="Arial Unicode MS"/>
              </w:rPr>
              <w:t>113,8</w:t>
            </w:r>
          </w:p>
        </w:tc>
        <w:tc>
          <w:tcPr>
            <w:tcW w:w="2855" w:type="dxa"/>
            <w:tcBorders>
              <w:top w:val="nil"/>
              <w:left w:val="single" w:sz="4" w:space="0" w:color="auto"/>
              <w:right w:val="single" w:sz="4" w:space="0" w:color="auto"/>
            </w:tcBorders>
            <w:noWrap/>
            <w:vAlign w:val="bottom"/>
          </w:tcPr>
          <w:p w:rsidR="00C742B4" w:rsidRPr="00A507B5" w:rsidRDefault="00C742B4" w:rsidP="00F74015">
            <w:pPr>
              <w:jc w:val="both"/>
              <w:rPr>
                <w:rFonts w:eastAsia="Arial Unicode MS"/>
              </w:rPr>
            </w:pPr>
            <w:r w:rsidRPr="00A507B5">
              <w:t>0,14%</w:t>
            </w:r>
          </w:p>
        </w:tc>
      </w:tr>
      <w:tr w:rsidR="00C742B4" w:rsidRPr="00A507B5" w:rsidTr="00F74015">
        <w:trPr>
          <w:trHeight w:val="255"/>
        </w:trPr>
        <w:tc>
          <w:tcPr>
            <w:tcW w:w="3052" w:type="dxa"/>
            <w:tcBorders>
              <w:top w:val="single" w:sz="4" w:space="0" w:color="auto"/>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r w:rsidRPr="00A507B5">
              <w:t>Pohľadávky</w:t>
            </w:r>
          </w:p>
        </w:tc>
        <w:tc>
          <w:tcPr>
            <w:tcW w:w="2713" w:type="dxa"/>
            <w:tcBorders>
              <w:top w:val="single" w:sz="4" w:space="0" w:color="auto"/>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r w:rsidRPr="00A507B5">
              <w:rPr>
                <w:rFonts w:eastAsia="Arial Unicode MS"/>
              </w:rPr>
              <w:t>290,6</w:t>
            </w:r>
          </w:p>
        </w:tc>
        <w:tc>
          <w:tcPr>
            <w:tcW w:w="2855" w:type="dxa"/>
            <w:tcBorders>
              <w:top w:val="single" w:sz="4" w:space="0" w:color="auto"/>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r w:rsidRPr="00A507B5">
              <w:t>0,36%</w:t>
            </w:r>
          </w:p>
        </w:tc>
      </w:tr>
      <w:tr w:rsidR="00C742B4" w:rsidRPr="00A507B5" w:rsidTr="00F74015">
        <w:trPr>
          <w:trHeight w:val="255"/>
        </w:trPr>
        <w:tc>
          <w:tcPr>
            <w:tcW w:w="3052" w:type="dxa"/>
            <w:tcBorders>
              <w:top w:val="nil"/>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r w:rsidRPr="00A507B5">
              <w:t>Finančné účty</w:t>
            </w:r>
          </w:p>
        </w:tc>
        <w:tc>
          <w:tcPr>
            <w:tcW w:w="2713" w:type="dxa"/>
            <w:tcBorders>
              <w:top w:val="nil"/>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r w:rsidRPr="00A507B5">
              <w:rPr>
                <w:rFonts w:eastAsia="Arial Unicode MS"/>
              </w:rPr>
              <w:t>78 083,9</w:t>
            </w:r>
          </w:p>
        </w:tc>
        <w:tc>
          <w:tcPr>
            <w:tcW w:w="2855" w:type="dxa"/>
            <w:tcBorders>
              <w:top w:val="nil"/>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r w:rsidRPr="00A507B5">
              <w:t>97,25%</w:t>
            </w:r>
          </w:p>
        </w:tc>
      </w:tr>
      <w:tr w:rsidR="00C742B4" w:rsidRPr="00A507B5" w:rsidTr="00F74015">
        <w:trPr>
          <w:trHeight w:val="270"/>
        </w:trPr>
        <w:tc>
          <w:tcPr>
            <w:tcW w:w="3052" w:type="dxa"/>
            <w:tcBorders>
              <w:top w:val="nil"/>
              <w:left w:val="single" w:sz="4" w:space="0" w:color="auto"/>
              <w:bottom w:val="single" w:sz="4" w:space="0" w:color="auto"/>
              <w:right w:val="single" w:sz="4" w:space="0" w:color="auto"/>
            </w:tcBorders>
            <w:noWrap/>
            <w:vAlign w:val="bottom"/>
          </w:tcPr>
          <w:p w:rsidR="00C742B4" w:rsidRPr="00A507B5" w:rsidRDefault="00C742B4" w:rsidP="00F74015">
            <w:pPr>
              <w:jc w:val="both"/>
              <w:rPr>
                <w:rFonts w:eastAsia="Arial Unicode MS"/>
              </w:rPr>
            </w:pPr>
            <w:r w:rsidRPr="00A507B5">
              <w:rPr>
                <w:rFonts w:eastAsia="Arial Unicode MS"/>
              </w:rPr>
              <w:t>Časové rozlíšenie</w:t>
            </w:r>
          </w:p>
        </w:tc>
        <w:tc>
          <w:tcPr>
            <w:tcW w:w="2713" w:type="dxa"/>
            <w:tcBorders>
              <w:top w:val="nil"/>
              <w:left w:val="single" w:sz="4" w:space="0" w:color="auto"/>
              <w:bottom w:val="single" w:sz="4" w:space="0" w:color="auto"/>
              <w:right w:val="single" w:sz="4" w:space="0" w:color="auto"/>
            </w:tcBorders>
            <w:noWrap/>
            <w:vAlign w:val="bottom"/>
          </w:tcPr>
          <w:p w:rsidR="00C742B4" w:rsidRPr="00A507B5" w:rsidRDefault="00C742B4" w:rsidP="00F74015">
            <w:pPr>
              <w:jc w:val="both"/>
              <w:rPr>
                <w:rFonts w:eastAsia="Arial Unicode MS"/>
              </w:rPr>
            </w:pPr>
            <w:r w:rsidRPr="00A507B5">
              <w:rPr>
                <w:rFonts w:eastAsia="Arial Unicode MS"/>
              </w:rPr>
              <w:t>108,2</w:t>
            </w:r>
          </w:p>
        </w:tc>
        <w:tc>
          <w:tcPr>
            <w:tcW w:w="2855" w:type="dxa"/>
            <w:tcBorders>
              <w:top w:val="nil"/>
              <w:left w:val="single" w:sz="4" w:space="0" w:color="auto"/>
              <w:bottom w:val="single" w:sz="4" w:space="0" w:color="auto"/>
              <w:right w:val="single" w:sz="4" w:space="0" w:color="auto"/>
            </w:tcBorders>
            <w:noWrap/>
            <w:vAlign w:val="bottom"/>
          </w:tcPr>
          <w:p w:rsidR="00C742B4" w:rsidRPr="00A507B5" w:rsidRDefault="00C742B4" w:rsidP="00F74015">
            <w:pPr>
              <w:jc w:val="both"/>
              <w:rPr>
                <w:rFonts w:eastAsia="Arial Unicode MS"/>
              </w:rPr>
            </w:pPr>
            <w:r w:rsidRPr="00A507B5">
              <w:t>0,14%</w:t>
            </w:r>
          </w:p>
        </w:tc>
      </w:tr>
      <w:tr w:rsidR="00C742B4" w:rsidRPr="00A507B5" w:rsidTr="00F74015">
        <w:trPr>
          <w:trHeight w:val="255"/>
        </w:trPr>
        <w:tc>
          <w:tcPr>
            <w:tcW w:w="3052" w:type="dxa"/>
            <w:tcBorders>
              <w:top w:val="single" w:sz="4" w:space="0" w:color="auto"/>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p>
        </w:tc>
        <w:tc>
          <w:tcPr>
            <w:tcW w:w="2713" w:type="dxa"/>
            <w:tcBorders>
              <w:top w:val="single" w:sz="4" w:space="0" w:color="auto"/>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p>
        </w:tc>
        <w:tc>
          <w:tcPr>
            <w:tcW w:w="2855" w:type="dxa"/>
            <w:tcBorders>
              <w:top w:val="single" w:sz="4" w:space="0" w:color="auto"/>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p>
        </w:tc>
      </w:tr>
      <w:tr w:rsidR="00C742B4" w:rsidRPr="00A507B5" w:rsidTr="00F74015">
        <w:trPr>
          <w:trHeight w:val="315"/>
        </w:trPr>
        <w:tc>
          <w:tcPr>
            <w:tcW w:w="3052" w:type="dxa"/>
            <w:tcBorders>
              <w:top w:val="nil"/>
              <w:left w:val="single" w:sz="4" w:space="0" w:color="auto"/>
              <w:bottom w:val="single" w:sz="4" w:space="0" w:color="auto"/>
              <w:right w:val="single" w:sz="4" w:space="0" w:color="auto"/>
            </w:tcBorders>
            <w:noWrap/>
            <w:vAlign w:val="bottom"/>
          </w:tcPr>
          <w:p w:rsidR="00C742B4" w:rsidRPr="00A507B5" w:rsidRDefault="00C742B4" w:rsidP="00F74015">
            <w:pPr>
              <w:jc w:val="both"/>
              <w:rPr>
                <w:rFonts w:eastAsia="Arial Unicode MS"/>
                <w:b/>
                <w:bCs/>
              </w:rPr>
            </w:pPr>
            <w:r w:rsidRPr="00A507B5">
              <w:rPr>
                <w:b/>
                <w:bCs/>
              </w:rPr>
              <w:t>AKTÍVA SPOLU</w:t>
            </w:r>
          </w:p>
        </w:tc>
        <w:tc>
          <w:tcPr>
            <w:tcW w:w="2713" w:type="dxa"/>
            <w:tcBorders>
              <w:top w:val="nil"/>
              <w:left w:val="single" w:sz="4" w:space="0" w:color="auto"/>
              <w:bottom w:val="single" w:sz="4" w:space="0" w:color="auto"/>
              <w:right w:val="single" w:sz="4" w:space="0" w:color="auto"/>
            </w:tcBorders>
            <w:noWrap/>
            <w:vAlign w:val="bottom"/>
          </w:tcPr>
          <w:p w:rsidR="00C742B4" w:rsidRPr="00A507B5" w:rsidRDefault="00C742B4" w:rsidP="00F74015">
            <w:pPr>
              <w:jc w:val="both"/>
              <w:rPr>
                <w:rFonts w:eastAsia="Arial Unicode MS"/>
                <w:b/>
                <w:bCs/>
              </w:rPr>
            </w:pPr>
            <w:r>
              <w:rPr>
                <w:rFonts w:eastAsia="Arial Unicode MS"/>
                <w:b/>
                <w:bCs/>
              </w:rPr>
              <w:t>80</w:t>
            </w:r>
            <w:r w:rsidRPr="00A507B5">
              <w:rPr>
                <w:rFonts w:eastAsia="Arial Unicode MS"/>
                <w:b/>
                <w:bCs/>
              </w:rPr>
              <w:t> 292,0</w:t>
            </w:r>
          </w:p>
        </w:tc>
        <w:tc>
          <w:tcPr>
            <w:tcW w:w="2855" w:type="dxa"/>
            <w:tcBorders>
              <w:top w:val="nil"/>
              <w:left w:val="single" w:sz="4" w:space="0" w:color="auto"/>
              <w:bottom w:val="single" w:sz="4" w:space="0" w:color="auto"/>
              <w:right w:val="single" w:sz="4" w:space="0" w:color="auto"/>
            </w:tcBorders>
            <w:noWrap/>
            <w:vAlign w:val="bottom"/>
          </w:tcPr>
          <w:p w:rsidR="00C742B4" w:rsidRPr="00A507B5" w:rsidRDefault="00C742B4" w:rsidP="00F74015">
            <w:pPr>
              <w:jc w:val="both"/>
              <w:rPr>
                <w:rFonts w:eastAsia="Arial Unicode MS"/>
                <w:b/>
                <w:bCs/>
              </w:rPr>
            </w:pPr>
            <w:r w:rsidRPr="00A507B5">
              <w:rPr>
                <w:b/>
                <w:bCs/>
              </w:rPr>
              <w:t>100%</w:t>
            </w:r>
          </w:p>
        </w:tc>
      </w:tr>
    </w:tbl>
    <w:p w:rsidR="00C742B4" w:rsidRPr="00A507B5" w:rsidRDefault="00C742B4" w:rsidP="00C742B4">
      <w:pPr>
        <w:jc w:val="both"/>
      </w:pPr>
    </w:p>
    <w:p w:rsidR="00C742B4" w:rsidRPr="00A507B5" w:rsidRDefault="00C742B4" w:rsidP="00C742B4">
      <w:pPr>
        <w:pStyle w:val="Zkladntext"/>
        <w:ind w:firstLine="360"/>
        <w:jc w:val="both"/>
      </w:pPr>
      <w:r w:rsidRPr="00A507B5">
        <w:tab/>
        <w:t xml:space="preserve">Vlastné imanie spoločnosti dosiahlo k 31.12.2010 objem 32 706 tis. €. Celkový objem záväzkov a rezerv dosiahol ku koncu roka 2010 hodnotu 47 586 tis. €, pričom pozostával z rezerv na prebiehajúce a potenciálne súdne spory a z krátkodobých, resp. dlhodobých záväzkov vyplývajúcich z obchodnej činnosti. </w:t>
      </w:r>
    </w:p>
    <w:p w:rsidR="00C742B4" w:rsidRPr="00A507B5" w:rsidRDefault="00C742B4" w:rsidP="00C742B4">
      <w:pPr>
        <w:pStyle w:val="Zkladntext"/>
        <w:jc w:val="both"/>
      </w:pPr>
    </w:p>
    <w:tbl>
      <w:tblPr>
        <w:tblW w:w="8620" w:type="dxa"/>
        <w:tblLayout w:type="fixed"/>
        <w:tblCellMar>
          <w:left w:w="0" w:type="dxa"/>
          <w:right w:w="0" w:type="dxa"/>
        </w:tblCellMar>
        <w:tblLook w:val="0000"/>
      </w:tblPr>
      <w:tblGrid>
        <w:gridCol w:w="3065"/>
        <w:gridCol w:w="2880"/>
        <w:gridCol w:w="2675"/>
      </w:tblGrid>
      <w:tr w:rsidR="00C742B4" w:rsidRPr="00A507B5" w:rsidTr="00F74015">
        <w:trPr>
          <w:trHeight w:val="645"/>
        </w:trPr>
        <w:tc>
          <w:tcPr>
            <w:tcW w:w="3065" w:type="dxa"/>
            <w:tcBorders>
              <w:top w:val="single" w:sz="4" w:space="0" w:color="auto"/>
              <w:left w:val="single" w:sz="4" w:space="0" w:color="auto"/>
              <w:bottom w:val="single" w:sz="4" w:space="0" w:color="auto"/>
              <w:right w:val="single" w:sz="4" w:space="0" w:color="auto"/>
            </w:tcBorders>
            <w:noWrap/>
            <w:vAlign w:val="center"/>
          </w:tcPr>
          <w:p w:rsidR="00C742B4" w:rsidRPr="00A507B5" w:rsidRDefault="00C742B4" w:rsidP="00F74015">
            <w:pPr>
              <w:jc w:val="both"/>
              <w:rPr>
                <w:rFonts w:eastAsia="Arial Unicode MS"/>
                <w:b/>
                <w:bCs/>
              </w:rPr>
            </w:pPr>
            <w:r w:rsidRPr="00A507B5">
              <w:rPr>
                <w:b/>
                <w:bCs/>
              </w:rPr>
              <w:t>Zdroje krytia majetku</w:t>
            </w:r>
          </w:p>
        </w:tc>
        <w:tc>
          <w:tcPr>
            <w:tcW w:w="2880" w:type="dxa"/>
            <w:tcBorders>
              <w:top w:val="single" w:sz="4" w:space="0" w:color="auto"/>
              <w:left w:val="single" w:sz="4" w:space="0" w:color="auto"/>
              <w:bottom w:val="single" w:sz="4" w:space="0" w:color="auto"/>
              <w:right w:val="single" w:sz="4" w:space="0" w:color="auto"/>
            </w:tcBorders>
            <w:vAlign w:val="center"/>
          </w:tcPr>
          <w:p w:rsidR="00C742B4" w:rsidRPr="00A507B5" w:rsidRDefault="00C742B4" w:rsidP="00F74015">
            <w:pPr>
              <w:jc w:val="both"/>
              <w:rPr>
                <w:b/>
                <w:bCs/>
              </w:rPr>
            </w:pPr>
            <w:r w:rsidRPr="00A507B5">
              <w:rPr>
                <w:b/>
                <w:bCs/>
              </w:rPr>
              <w:t>Objem k 31.12.2010</w:t>
            </w:r>
          </w:p>
          <w:p w:rsidR="00C742B4" w:rsidRPr="00A507B5" w:rsidRDefault="00C742B4" w:rsidP="00F74015">
            <w:pPr>
              <w:jc w:val="both"/>
              <w:rPr>
                <w:rFonts w:eastAsia="Arial Unicode MS"/>
                <w:b/>
                <w:bCs/>
              </w:rPr>
            </w:pPr>
            <w:r w:rsidRPr="00A507B5">
              <w:rPr>
                <w:b/>
                <w:bCs/>
              </w:rPr>
              <w:t>(tis. €)</w:t>
            </w:r>
          </w:p>
        </w:tc>
        <w:tc>
          <w:tcPr>
            <w:tcW w:w="2675" w:type="dxa"/>
            <w:tcBorders>
              <w:top w:val="single" w:sz="4" w:space="0" w:color="auto"/>
              <w:left w:val="single" w:sz="4" w:space="0" w:color="auto"/>
              <w:bottom w:val="single" w:sz="4" w:space="0" w:color="auto"/>
              <w:right w:val="single" w:sz="4" w:space="0" w:color="auto"/>
            </w:tcBorders>
            <w:noWrap/>
            <w:vAlign w:val="center"/>
          </w:tcPr>
          <w:p w:rsidR="00C742B4" w:rsidRPr="00A507B5" w:rsidRDefault="00C742B4" w:rsidP="00F74015">
            <w:pPr>
              <w:jc w:val="both"/>
              <w:rPr>
                <w:rFonts w:eastAsia="Arial Unicode MS"/>
                <w:b/>
                <w:bCs/>
              </w:rPr>
            </w:pPr>
            <w:r w:rsidRPr="00A507B5">
              <w:rPr>
                <w:b/>
                <w:bCs/>
              </w:rPr>
              <w:t>Štruktúra zdrojov (%)</w:t>
            </w:r>
          </w:p>
        </w:tc>
      </w:tr>
      <w:tr w:rsidR="00C742B4" w:rsidRPr="00A507B5" w:rsidTr="00F74015">
        <w:trPr>
          <w:trHeight w:val="255"/>
        </w:trPr>
        <w:tc>
          <w:tcPr>
            <w:tcW w:w="3065" w:type="dxa"/>
            <w:tcBorders>
              <w:top w:val="single" w:sz="4" w:space="0" w:color="auto"/>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r w:rsidRPr="00A507B5">
              <w:t>Vlastné imanie</w:t>
            </w:r>
          </w:p>
        </w:tc>
        <w:tc>
          <w:tcPr>
            <w:tcW w:w="2880" w:type="dxa"/>
            <w:tcBorders>
              <w:top w:val="single" w:sz="4" w:space="0" w:color="auto"/>
              <w:left w:val="single" w:sz="4" w:space="0" w:color="auto"/>
              <w:bottom w:val="nil"/>
              <w:right w:val="single" w:sz="4" w:space="0" w:color="auto"/>
            </w:tcBorders>
            <w:noWrap/>
            <w:vAlign w:val="bottom"/>
          </w:tcPr>
          <w:p w:rsidR="00C742B4" w:rsidRPr="00A507B5" w:rsidRDefault="00C742B4" w:rsidP="00F74015">
            <w:pPr>
              <w:jc w:val="both"/>
              <w:rPr>
                <w:rFonts w:eastAsia="Arial Unicode MS"/>
                <w:b/>
                <w:bCs/>
              </w:rPr>
            </w:pPr>
            <w:r w:rsidRPr="00A507B5">
              <w:rPr>
                <w:rFonts w:eastAsia="Arial Unicode MS"/>
                <w:b/>
                <w:bCs/>
              </w:rPr>
              <w:t>32 706,3</w:t>
            </w:r>
          </w:p>
        </w:tc>
        <w:tc>
          <w:tcPr>
            <w:tcW w:w="2675" w:type="dxa"/>
            <w:tcBorders>
              <w:top w:val="single" w:sz="4" w:space="0" w:color="auto"/>
              <w:left w:val="single" w:sz="4" w:space="0" w:color="auto"/>
              <w:bottom w:val="nil"/>
              <w:right w:val="single" w:sz="4" w:space="0" w:color="auto"/>
            </w:tcBorders>
            <w:noWrap/>
            <w:vAlign w:val="bottom"/>
          </w:tcPr>
          <w:p w:rsidR="00C742B4" w:rsidRPr="00A507B5" w:rsidRDefault="00C742B4" w:rsidP="00F74015">
            <w:pPr>
              <w:jc w:val="both"/>
              <w:rPr>
                <w:rFonts w:eastAsia="Arial Unicode MS"/>
                <w:b/>
                <w:bCs/>
              </w:rPr>
            </w:pPr>
            <w:r w:rsidRPr="00A507B5">
              <w:rPr>
                <w:b/>
                <w:bCs/>
              </w:rPr>
              <w:t>40,73%</w:t>
            </w:r>
          </w:p>
        </w:tc>
      </w:tr>
      <w:tr w:rsidR="00C742B4" w:rsidRPr="00A507B5" w:rsidTr="00F74015">
        <w:trPr>
          <w:trHeight w:val="255"/>
        </w:trPr>
        <w:tc>
          <w:tcPr>
            <w:tcW w:w="3065" w:type="dxa"/>
            <w:tcBorders>
              <w:top w:val="nil"/>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r w:rsidRPr="00A507B5">
              <w:t>z toho: základné imanie</w:t>
            </w:r>
          </w:p>
        </w:tc>
        <w:tc>
          <w:tcPr>
            <w:tcW w:w="2880" w:type="dxa"/>
            <w:tcBorders>
              <w:top w:val="nil"/>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r w:rsidRPr="00A507B5">
              <w:rPr>
                <w:rFonts w:eastAsia="Arial Unicode MS"/>
              </w:rPr>
              <w:t>1 660,0</w:t>
            </w:r>
          </w:p>
        </w:tc>
        <w:tc>
          <w:tcPr>
            <w:tcW w:w="2675" w:type="dxa"/>
            <w:tcBorders>
              <w:top w:val="nil"/>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p>
        </w:tc>
      </w:tr>
      <w:tr w:rsidR="00C742B4" w:rsidRPr="00A507B5" w:rsidTr="00F74015">
        <w:trPr>
          <w:trHeight w:val="255"/>
        </w:trPr>
        <w:tc>
          <w:tcPr>
            <w:tcW w:w="3065" w:type="dxa"/>
            <w:tcBorders>
              <w:top w:val="nil"/>
              <w:left w:val="single" w:sz="4" w:space="0" w:color="auto"/>
              <w:bottom w:val="nil"/>
              <w:right w:val="single" w:sz="4" w:space="0" w:color="auto"/>
            </w:tcBorders>
            <w:noWrap/>
            <w:vAlign w:val="bottom"/>
          </w:tcPr>
          <w:p w:rsidR="00C742B4" w:rsidRPr="00A507B5" w:rsidRDefault="00C742B4" w:rsidP="00F74015">
            <w:pPr>
              <w:jc w:val="both"/>
            </w:pPr>
            <w:r w:rsidRPr="00A507B5">
              <w:t xml:space="preserve">           Fondy</w:t>
            </w:r>
          </w:p>
        </w:tc>
        <w:tc>
          <w:tcPr>
            <w:tcW w:w="2880" w:type="dxa"/>
            <w:tcBorders>
              <w:top w:val="nil"/>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r w:rsidRPr="00A507B5">
              <w:rPr>
                <w:rFonts w:eastAsia="Arial Unicode MS"/>
              </w:rPr>
              <w:t>17 148,1</w:t>
            </w:r>
          </w:p>
        </w:tc>
        <w:tc>
          <w:tcPr>
            <w:tcW w:w="2675" w:type="dxa"/>
            <w:tcBorders>
              <w:top w:val="nil"/>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p>
        </w:tc>
      </w:tr>
      <w:tr w:rsidR="00C742B4" w:rsidRPr="00A507B5" w:rsidTr="00F74015">
        <w:trPr>
          <w:trHeight w:val="255"/>
        </w:trPr>
        <w:tc>
          <w:tcPr>
            <w:tcW w:w="3065" w:type="dxa"/>
            <w:tcBorders>
              <w:top w:val="nil"/>
              <w:left w:val="single" w:sz="4" w:space="0" w:color="auto"/>
              <w:bottom w:val="nil"/>
              <w:right w:val="single" w:sz="4" w:space="0" w:color="auto"/>
            </w:tcBorders>
            <w:noWrap/>
            <w:vAlign w:val="bottom"/>
          </w:tcPr>
          <w:p w:rsidR="00C742B4" w:rsidRPr="00A507B5" w:rsidRDefault="00C742B4" w:rsidP="00F74015">
            <w:pPr>
              <w:jc w:val="both"/>
            </w:pPr>
            <w:r w:rsidRPr="00A507B5">
              <w:t xml:space="preserve">           HV minulých rokov</w:t>
            </w:r>
          </w:p>
        </w:tc>
        <w:tc>
          <w:tcPr>
            <w:tcW w:w="2880" w:type="dxa"/>
            <w:tcBorders>
              <w:top w:val="nil"/>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r w:rsidRPr="00A507B5">
              <w:rPr>
                <w:rFonts w:eastAsia="Arial Unicode MS"/>
              </w:rPr>
              <w:t>274,5</w:t>
            </w:r>
          </w:p>
        </w:tc>
        <w:tc>
          <w:tcPr>
            <w:tcW w:w="2675" w:type="dxa"/>
            <w:tcBorders>
              <w:top w:val="nil"/>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p>
        </w:tc>
      </w:tr>
      <w:tr w:rsidR="00C742B4" w:rsidRPr="00A507B5" w:rsidTr="00F74015">
        <w:trPr>
          <w:trHeight w:val="255"/>
        </w:trPr>
        <w:tc>
          <w:tcPr>
            <w:tcW w:w="3065" w:type="dxa"/>
            <w:tcBorders>
              <w:top w:val="nil"/>
              <w:left w:val="single" w:sz="4" w:space="0" w:color="auto"/>
              <w:bottom w:val="single" w:sz="4" w:space="0" w:color="auto"/>
              <w:right w:val="single" w:sz="4" w:space="0" w:color="auto"/>
            </w:tcBorders>
            <w:noWrap/>
            <w:vAlign w:val="bottom"/>
          </w:tcPr>
          <w:p w:rsidR="00C742B4" w:rsidRPr="00A507B5" w:rsidRDefault="00C742B4" w:rsidP="00F74015">
            <w:pPr>
              <w:tabs>
                <w:tab w:val="left" w:pos="725"/>
              </w:tabs>
              <w:jc w:val="both"/>
            </w:pPr>
            <w:r w:rsidRPr="00A507B5">
              <w:rPr>
                <w:sz w:val="22"/>
                <w:szCs w:val="22"/>
              </w:rPr>
              <w:t xml:space="preserve">            HV účtovného obdobia </w:t>
            </w:r>
          </w:p>
        </w:tc>
        <w:tc>
          <w:tcPr>
            <w:tcW w:w="2880" w:type="dxa"/>
            <w:tcBorders>
              <w:top w:val="nil"/>
              <w:left w:val="single" w:sz="4" w:space="0" w:color="auto"/>
              <w:bottom w:val="single" w:sz="4" w:space="0" w:color="auto"/>
              <w:right w:val="single" w:sz="4" w:space="0" w:color="auto"/>
            </w:tcBorders>
            <w:noWrap/>
            <w:vAlign w:val="bottom"/>
          </w:tcPr>
          <w:p w:rsidR="00C742B4" w:rsidRPr="00A507B5" w:rsidRDefault="00C742B4" w:rsidP="00F74015">
            <w:pPr>
              <w:jc w:val="both"/>
              <w:rPr>
                <w:rFonts w:eastAsia="Arial Unicode MS"/>
              </w:rPr>
            </w:pPr>
            <w:r w:rsidRPr="00A507B5">
              <w:rPr>
                <w:rFonts w:eastAsia="Arial Unicode MS"/>
              </w:rPr>
              <w:t>13 623,7</w:t>
            </w:r>
          </w:p>
        </w:tc>
        <w:tc>
          <w:tcPr>
            <w:tcW w:w="2675" w:type="dxa"/>
            <w:tcBorders>
              <w:top w:val="nil"/>
              <w:left w:val="single" w:sz="4" w:space="0" w:color="auto"/>
              <w:bottom w:val="single" w:sz="4" w:space="0" w:color="auto"/>
              <w:right w:val="single" w:sz="4" w:space="0" w:color="auto"/>
            </w:tcBorders>
            <w:noWrap/>
            <w:vAlign w:val="bottom"/>
          </w:tcPr>
          <w:p w:rsidR="00C742B4" w:rsidRPr="00A507B5" w:rsidRDefault="00C742B4" w:rsidP="00F74015">
            <w:pPr>
              <w:jc w:val="both"/>
              <w:rPr>
                <w:rFonts w:eastAsia="Arial Unicode MS"/>
              </w:rPr>
            </w:pPr>
          </w:p>
        </w:tc>
      </w:tr>
      <w:tr w:rsidR="00C742B4" w:rsidRPr="00A507B5" w:rsidTr="00F74015">
        <w:trPr>
          <w:trHeight w:val="255"/>
        </w:trPr>
        <w:tc>
          <w:tcPr>
            <w:tcW w:w="3065" w:type="dxa"/>
            <w:tcBorders>
              <w:top w:val="single" w:sz="4" w:space="0" w:color="auto"/>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r w:rsidRPr="00A507B5">
              <w:rPr>
                <w:rFonts w:eastAsia="Arial Unicode MS"/>
              </w:rPr>
              <w:t>Záväzky</w:t>
            </w:r>
          </w:p>
        </w:tc>
        <w:tc>
          <w:tcPr>
            <w:tcW w:w="2880" w:type="dxa"/>
            <w:tcBorders>
              <w:top w:val="single" w:sz="4" w:space="0" w:color="auto"/>
              <w:left w:val="single" w:sz="4" w:space="0" w:color="auto"/>
              <w:bottom w:val="nil"/>
              <w:right w:val="single" w:sz="4" w:space="0" w:color="auto"/>
            </w:tcBorders>
            <w:noWrap/>
            <w:vAlign w:val="bottom"/>
          </w:tcPr>
          <w:p w:rsidR="00C742B4" w:rsidRPr="00A507B5" w:rsidRDefault="00C742B4" w:rsidP="00F74015">
            <w:pPr>
              <w:jc w:val="both"/>
              <w:rPr>
                <w:rFonts w:eastAsia="Arial Unicode MS"/>
                <w:b/>
                <w:bCs/>
              </w:rPr>
            </w:pPr>
            <w:r w:rsidRPr="00A507B5">
              <w:rPr>
                <w:rFonts w:eastAsia="Arial Unicode MS"/>
                <w:b/>
                <w:bCs/>
              </w:rPr>
              <w:t>47 585,6</w:t>
            </w:r>
          </w:p>
        </w:tc>
        <w:tc>
          <w:tcPr>
            <w:tcW w:w="2675" w:type="dxa"/>
            <w:tcBorders>
              <w:top w:val="single" w:sz="4" w:space="0" w:color="auto"/>
              <w:left w:val="single" w:sz="4" w:space="0" w:color="auto"/>
              <w:bottom w:val="nil"/>
              <w:right w:val="single" w:sz="4" w:space="0" w:color="auto"/>
            </w:tcBorders>
            <w:noWrap/>
            <w:vAlign w:val="bottom"/>
          </w:tcPr>
          <w:p w:rsidR="00C742B4" w:rsidRPr="00A507B5" w:rsidRDefault="00C742B4" w:rsidP="00F74015">
            <w:pPr>
              <w:jc w:val="both"/>
              <w:rPr>
                <w:rFonts w:eastAsia="Arial Unicode MS"/>
                <w:b/>
                <w:bCs/>
              </w:rPr>
            </w:pPr>
            <w:r w:rsidRPr="00A507B5">
              <w:rPr>
                <w:b/>
                <w:bCs/>
              </w:rPr>
              <w:t>59,27%</w:t>
            </w:r>
          </w:p>
        </w:tc>
      </w:tr>
      <w:tr w:rsidR="00C742B4" w:rsidRPr="00A507B5" w:rsidTr="00F74015">
        <w:trPr>
          <w:trHeight w:val="255"/>
        </w:trPr>
        <w:tc>
          <w:tcPr>
            <w:tcW w:w="3065" w:type="dxa"/>
            <w:tcBorders>
              <w:top w:val="nil"/>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r w:rsidRPr="00A507B5">
              <w:rPr>
                <w:rFonts w:eastAsia="Arial Unicode MS"/>
              </w:rPr>
              <w:t xml:space="preserve">z toho: rezervy </w:t>
            </w:r>
          </w:p>
        </w:tc>
        <w:tc>
          <w:tcPr>
            <w:tcW w:w="2880" w:type="dxa"/>
            <w:tcBorders>
              <w:top w:val="nil"/>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r w:rsidRPr="00A507B5">
              <w:rPr>
                <w:rFonts w:eastAsia="Arial Unicode MS"/>
              </w:rPr>
              <w:t>46 530,3</w:t>
            </w:r>
          </w:p>
        </w:tc>
        <w:tc>
          <w:tcPr>
            <w:tcW w:w="2675" w:type="dxa"/>
            <w:tcBorders>
              <w:top w:val="nil"/>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p>
        </w:tc>
      </w:tr>
      <w:tr w:rsidR="00C742B4" w:rsidRPr="00A507B5" w:rsidTr="00F74015">
        <w:trPr>
          <w:trHeight w:val="255"/>
        </w:trPr>
        <w:tc>
          <w:tcPr>
            <w:tcW w:w="3065" w:type="dxa"/>
            <w:tcBorders>
              <w:top w:val="nil"/>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r w:rsidRPr="00A507B5">
              <w:rPr>
                <w:rFonts w:eastAsia="Arial Unicode MS"/>
              </w:rPr>
              <w:t xml:space="preserve">          dlhodobé záväzky</w:t>
            </w:r>
          </w:p>
        </w:tc>
        <w:tc>
          <w:tcPr>
            <w:tcW w:w="2880" w:type="dxa"/>
            <w:tcBorders>
              <w:top w:val="nil"/>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r w:rsidRPr="00A507B5">
              <w:rPr>
                <w:rFonts w:eastAsia="Arial Unicode MS"/>
              </w:rPr>
              <w:t>114,0</w:t>
            </w:r>
          </w:p>
        </w:tc>
        <w:tc>
          <w:tcPr>
            <w:tcW w:w="2675" w:type="dxa"/>
            <w:tcBorders>
              <w:top w:val="nil"/>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p>
        </w:tc>
      </w:tr>
      <w:tr w:rsidR="00C742B4" w:rsidRPr="00A507B5" w:rsidTr="00F74015">
        <w:trPr>
          <w:trHeight w:val="255"/>
        </w:trPr>
        <w:tc>
          <w:tcPr>
            <w:tcW w:w="3065" w:type="dxa"/>
            <w:tcBorders>
              <w:top w:val="nil"/>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r w:rsidRPr="00A507B5">
              <w:rPr>
                <w:rFonts w:eastAsia="Arial Unicode MS"/>
              </w:rPr>
              <w:t xml:space="preserve">          krátkodobé záväzky</w:t>
            </w:r>
          </w:p>
        </w:tc>
        <w:tc>
          <w:tcPr>
            <w:tcW w:w="2880" w:type="dxa"/>
            <w:tcBorders>
              <w:top w:val="nil"/>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r w:rsidRPr="00A507B5">
              <w:rPr>
                <w:rFonts w:eastAsia="Arial Unicode MS"/>
              </w:rPr>
              <w:t>941,3</w:t>
            </w:r>
          </w:p>
        </w:tc>
        <w:tc>
          <w:tcPr>
            <w:tcW w:w="2675" w:type="dxa"/>
            <w:tcBorders>
              <w:top w:val="nil"/>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p>
        </w:tc>
      </w:tr>
      <w:tr w:rsidR="00C742B4" w:rsidRPr="00A507B5" w:rsidTr="00F74015">
        <w:trPr>
          <w:trHeight w:val="270"/>
        </w:trPr>
        <w:tc>
          <w:tcPr>
            <w:tcW w:w="3065" w:type="dxa"/>
            <w:tcBorders>
              <w:top w:val="single" w:sz="4" w:space="0" w:color="auto"/>
              <w:left w:val="single" w:sz="4" w:space="0" w:color="auto"/>
              <w:bottom w:val="single" w:sz="4" w:space="0" w:color="auto"/>
              <w:right w:val="single" w:sz="4" w:space="0" w:color="auto"/>
            </w:tcBorders>
            <w:noWrap/>
            <w:vAlign w:val="bottom"/>
          </w:tcPr>
          <w:p w:rsidR="00C742B4" w:rsidRPr="00A507B5" w:rsidRDefault="00C742B4" w:rsidP="00F74015">
            <w:pPr>
              <w:jc w:val="both"/>
              <w:rPr>
                <w:rFonts w:eastAsia="Arial Unicode MS"/>
              </w:rPr>
            </w:pPr>
            <w:r w:rsidRPr="00A507B5">
              <w:rPr>
                <w:rFonts w:eastAsia="Arial Unicode MS"/>
              </w:rPr>
              <w:t>Časové rozlíšenie</w:t>
            </w:r>
          </w:p>
        </w:tc>
        <w:tc>
          <w:tcPr>
            <w:tcW w:w="2880" w:type="dxa"/>
            <w:tcBorders>
              <w:top w:val="single" w:sz="4" w:space="0" w:color="auto"/>
              <w:left w:val="single" w:sz="4" w:space="0" w:color="auto"/>
              <w:bottom w:val="single" w:sz="4" w:space="0" w:color="auto"/>
              <w:right w:val="single" w:sz="4" w:space="0" w:color="auto"/>
            </w:tcBorders>
            <w:noWrap/>
            <w:vAlign w:val="bottom"/>
          </w:tcPr>
          <w:p w:rsidR="00C742B4" w:rsidRPr="00A507B5" w:rsidRDefault="00C742B4" w:rsidP="00F74015">
            <w:pPr>
              <w:jc w:val="both"/>
              <w:rPr>
                <w:rFonts w:eastAsia="Arial Unicode MS"/>
                <w:b/>
                <w:bCs/>
              </w:rPr>
            </w:pPr>
            <w:r w:rsidRPr="00A507B5">
              <w:rPr>
                <w:rFonts w:eastAsia="Arial Unicode MS"/>
                <w:b/>
                <w:bCs/>
              </w:rPr>
              <w:t>0,1</w:t>
            </w:r>
          </w:p>
        </w:tc>
        <w:tc>
          <w:tcPr>
            <w:tcW w:w="2675" w:type="dxa"/>
            <w:tcBorders>
              <w:top w:val="single" w:sz="4" w:space="0" w:color="auto"/>
              <w:left w:val="single" w:sz="4" w:space="0" w:color="auto"/>
              <w:bottom w:val="single" w:sz="4" w:space="0" w:color="auto"/>
              <w:right w:val="single" w:sz="4" w:space="0" w:color="auto"/>
            </w:tcBorders>
            <w:noWrap/>
            <w:vAlign w:val="bottom"/>
          </w:tcPr>
          <w:p w:rsidR="00C742B4" w:rsidRPr="00A507B5" w:rsidRDefault="00C742B4" w:rsidP="00F74015">
            <w:pPr>
              <w:jc w:val="both"/>
              <w:rPr>
                <w:rFonts w:eastAsia="Arial Unicode MS"/>
                <w:b/>
                <w:bCs/>
              </w:rPr>
            </w:pPr>
            <w:r w:rsidRPr="00A507B5">
              <w:rPr>
                <w:b/>
                <w:bCs/>
              </w:rPr>
              <w:t>0,0%</w:t>
            </w:r>
          </w:p>
        </w:tc>
      </w:tr>
      <w:tr w:rsidR="00C742B4" w:rsidRPr="00A507B5" w:rsidTr="00F74015">
        <w:trPr>
          <w:trHeight w:val="255"/>
        </w:trPr>
        <w:tc>
          <w:tcPr>
            <w:tcW w:w="3065" w:type="dxa"/>
            <w:tcBorders>
              <w:top w:val="single" w:sz="4" w:space="0" w:color="auto"/>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p>
        </w:tc>
        <w:tc>
          <w:tcPr>
            <w:tcW w:w="2880" w:type="dxa"/>
            <w:tcBorders>
              <w:top w:val="single" w:sz="4" w:space="0" w:color="auto"/>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p>
        </w:tc>
        <w:tc>
          <w:tcPr>
            <w:tcW w:w="2675" w:type="dxa"/>
            <w:tcBorders>
              <w:top w:val="single" w:sz="4" w:space="0" w:color="auto"/>
              <w:left w:val="single" w:sz="4" w:space="0" w:color="auto"/>
              <w:bottom w:val="nil"/>
              <w:right w:val="single" w:sz="4" w:space="0" w:color="auto"/>
            </w:tcBorders>
            <w:noWrap/>
            <w:vAlign w:val="bottom"/>
          </w:tcPr>
          <w:p w:rsidR="00C742B4" w:rsidRPr="00A507B5" w:rsidRDefault="00C742B4" w:rsidP="00F74015">
            <w:pPr>
              <w:jc w:val="both"/>
              <w:rPr>
                <w:rFonts w:eastAsia="Arial Unicode MS"/>
              </w:rPr>
            </w:pPr>
          </w:p>
        </w:tc>
      </w:tr>
      <w:tr w:rsidR="00C742B4" w:rsidRPr="00A507B5" w:rsidTr="00F74015">
        <w:trPr>
          <w:trHeight w:val="315"/>
        </w:trPr>
        <w:tc>
          <w:tcPr>
            <w:tcW w:w="3065" w:type="dxa"/>
            <w:tcBorders>
              <w:top w:val="nil"/>
              <w:left w:val="single" w:sz="4" w:space="0" w:color="auto"/>
              <w:bottom w:val="single" w:sz="4" w:space="0" w:color="auto"/>
              <w:right w:val="single" w:sz="4" w:space="0" w:color="auto"/>
            </w:tcBorders>
            <w:noWrap/>
            <w:vAlign w:val="bottom"/>
          </w:tcPr>
          <w:p w:rsidR="00C742B4" w:rsidRPr="00A507B5" w:rsidRDefault="00C742B4" w:rsidP="00F74015">
            <w:pPr>
              <w:jc w:val="both"/>
              <w:rPr>
                <w:rFonts w:eastAsia="Arial Unicode MS"/>
                <w:b/>
                <w:bCs/>
              </w:rPr>
            </w:pPr>
            <w:r w:rsidRPr="00A507B5">
              <w:rPr>
                <w:b/>
                <w:bCs/>
              </w:rPr>
              <w:t>PASÍVA SPOLU</w:t>
            </w:r>
          </w:p>
        </w:tc>
        <w:tc>
          <w:tcPr>
            <w:tcW w:w="2880" w:type="dxa"/>
            <w:tcBorders>
              <w:top w:val="nil"/>
              <w:left w:val="single" w:sz="4" w:space="0" w:color="auto"/>
              <w:bottom w:val="single" w:sz="4" w:space="0" w:color="auto"/>
              <w:right w:val="single" w:sz="4" w:space="0" w:color="auto"/>
            </w:tcBorders>
            <w:noWrap/>
            <w:vAlign w:val="bottom"/>
          </w:tcPr>
          <w:p w:rsidR="00C742B4" w:rsidRPr="00A507B5" w:rsidRDefault="00C742B4" w:rsidP="00F74015">
            <w:pPr>
              <w:jc w:val="both"/>
              <w:rPr>
                <w:rFonts w:eastAsia="Arial Unicode MS"/>
                <w:b/>
                <w:bCs/>
              </w:rPr>
            </w:pPr>
            <w:r w:rsidRPr="00A507B5">
              <w:rPr>
                <w:rFonts w:eastAsia="Arial Unicode MS"/>
                <w:b/>
                <w:bCs/>
              </w:rPr>
              <w:t>80 292,0</w:t>
            </w:r>
          </w:p>
        </w:tc>
        <w:tc>
          <w:tcPr>
            <w:tcW w:w="2675" w:type="dxa"/>
            <w:tcBorders>
              <w:top w:val="nil"/>
              <w:left w:val="single" w:sz="4" w:space="0" w:color="auto"/>
              <w:bottom w:val="single" w:sz="4" w:space="0" w:color="auto"/>
              <w:right w:val="single" w:sz="4" w:space="0" w:color="auto"/>
            </w:tcBorders>
            <w:noWrap/>
            <w:vAlign w:val="bottom"/>
          </w:tcPr>
          <w:p w:rsidR="00C742B4" w:rsidRPr="00A507B5" w:rsidRDefault="00C742B4" w:rsidP="00F74015">
            <w:pPr>
              <w:jc w:val="both"/>
              <w:rPr>
                <w:rFonts w:eastAsia="Arial Unicode MS"/>
                <w:b/>
                <w:bCs/>
              </w:rPr>
            </w:pPr>
            <w:r w:rsidRPr="00A507B5">
              <w:rPr>
                <w:b/>
                <w:bCs/>
              </w:rPr>
              <w:t>100%</w:t>
            </w:r>
          </w:p>
        </w:tc>
      </w:tr>
    </w:tbl>
    <w:p w:rsidR="00C742B4" w:rsidRPr="00A507B5" w:rsidRDefault="00C742B4" w:rsidP="00C742B4">
      <w:pPr>
        <w:pStyle w:val="nzov1"/>
        <w:jc w:val="both"/>
        <w:rPr>
          <w:szCs w:val="28"/>
        </w:rPr>
      </w:pPr>
    </w:p>
    <w:p w:rsidR="00C742B4" w:rsidRPr="00A507B5" w:rsidRDefault="00C742B4" w:rsidP="00C742B4">
      <w:pPr>
        <w:pStyle w:val="nzov1"/>
        <w:rPr>
          <w:color w:val="00B050"/>
          <w:szCs w:val="28"/>
        </w:rPr>
      </w:pPr>
      <w:r w:rsidRPr="00A507B5">
        <w:rPr>
          <w:szCs w:val="28"/>
        </w:rPr>
        <w:br w:type="page"/>
      </w:r>
      <w:bookmarkStart w:id="17" w:name="_Toc289692065"/>
      <w:r w:rsidRPr="00A507B5">
        <w:rPr>
          <w:color w:val="00B050"/>
          <w:szCs w:val="28"/>
        </w:rPr>
        <w:lastRenderedPageBreak/>
        <w:t>3.3 Prehľad peňažných tokov (CASH-FLOW)</w:t>
      </w:r>
      <w:bookmarkEnd w:id="16"/>
      <w:bookmarkEnd w:id="17"/>
    </w:p>
    <w:p w:rsidR="00C742B4" w:rsidRPr="00A507B5" w:rsidRDefault="00C742B4" w:rsidP="00C742B4">
      <w:pPr>
        <w:ind w:left="360"/>
        <w:jc w:val="both"/>
      </w:pPr>
    </w:p>
    <w:p w:rsidR="00C742B4" w:rsidRPr="00A507B5" w:rsidRDefault="00C742B4" w:rsidP="00C742B4">
      <w:pPr>
        <w:pStyle w:val="Nzev"/>
        <w:jc w:val="both"/>
        <w:rPr>
          <w:b w:val="0"/>
        </w:rPr>
      </w:pPr>
      <w:bookmarkStart w:id="18" w:name="_Toc132424058"/>
      <w:r w:rsidRPr="00A507B5">
        <w:rPr>
          <w:b w:val="0"/>
          <w:bCs/>
        </w:rPr>
        <w:t>Čisté peňažné toky spoločnosti tvorili k </w:t>
      </w:r>
      <w:proofErr w:type="spellStart"/>
      <w:r w:rsidRPr="00A507B5">
        <w:rPr>
          <w:b w:val="0"/>
          <w:bCs/>
        </w:rPr>
        <w:t>ultimu</w:t>
      </w:r>
      <w:proofErr w:type="spellEnd"/>
      <w:r w:rsidRPr="00A507B5">
        <w:rPr>
          <w:b w:val="0"/>
          <w:bCs/>
        </w:rPr>
        <w:t xml:space="preserve"> hodnoteného obdobia čiastku -7 465 tis. €. </w:t>
      </w:r>
      <w:r w:rsidRPr="00A507B5">
        <w:rPr>
          <w:b w:val="0"/>
        </w:rPr>
        <w:t>Celkový objem peňažných prostriedkov a peňažných ekvival</w:t>
      </w:r>
      <w:r>
        <w:rPr>
          <w:b w:val="0"/>
        </w:rPr>
        <w:t>entov v roku 2010 poklesol z 85 </w:t>
      </w:r>
      <w:r w:rsidRPr="00A507B5">
        <w:rPr>
          <w:b w:val="0"/>
        </w:rPr>
        <w:t xml:space="preserve">549 tis. € na 78 084 tis. €. </w:t>
      </w:r>
    </w:p>
    <w:p w:rsidR="00C742B4" w:rsidRPr="00A507B5" w:rsidRDefault="00C742B4" w:rsidP="00C742B4">
      <w:pPr>
        <w:pStyle w:val="Nzev"/>
        <w:jc w:val="both"/>
        <w:rPr>
          <w:b w:val="0"/>
        </w:rPr>
      </w:pPr>
    </w:p>
    <w:p w:rsidR="00C742B4" w:rsidRPr="00A507B5" w:rsidRDefault="00C742B4" w:rsidP="00C742B4">
      <w:pPr>
        <w:pStyle w:val="Nzev"/>
        <w:jc w:val="both"/>
        <w:rPr>
          <w:b w:val="0"/>
        </w:rPr>
      </w:pPr>
      <w:r w:rsidRPr="00A507B5">
        <w:rPr>
          <w:b w:val="0"/>
        </w:rPr>
        <w:t>Hlavnou čiastkou kladných peňažných tokov bol príjem z realizácie pohľadávok, pričom tento sa na celkovej hodnote podieľal objemom 11 604 tis. €.</w:t>
      </w:r>
    </w:p>
    <w:p w:rsidR="00C742B4" w:rsidRPr="00A507B5" w:rsidRDefault="00C742B4" w:rsidP="00C742B4">
      <w:pPr>
        <w:pStyle w:val="Nzev"/>
        <w:jc w:val="both"/>
        <w:rPr>
          <w:b w:val="0"/>
        </w:rPr>
      </w:pPr>
    </w:p>
    <w:p w:rsidR="00C742B4" w:rsidRPr="00A507B5" w:rsidRDefault="00C742B4" w:rsidP="00C742B4">
      <w:pPr>
        <w:pStyle w:val="Nzev"/>
        <w:jc w:val="both"/>
        <w:rPr>
          <w:b w:val="0"/>
        </w:rPr>
      </w:pPr>
      <w:r w:rsidRPr="00A507B5">
        <w:rPr>
          <w:b w:val="0"/>
        </w:rPr>
        <w:t>Ostatné príjmy boli tvorené z výnosových úrokov z vkladov v bankách, prenájmu kancelárií, vrátených súdnych poplatkov, preddavkov a dosiahli spolu 735 tis. €.</w:t>
      </w:r>
    </w:p>
    <w:p w:rsidR="00C742B4" w:rsidRPr="00A507B5" w:rsidRDefault="00C742B4" w:rsidP="00C742B4">
      <w:pPr>
        <w:pStyle w:val="Nzev"/>
        <w:jc w:val="both"/>
        <w:rPr>
          <w:b w:val="0"/>
        </w:rPr>
      </w:pPr>
    </w:p>
    <w:p w:rsidR="00C742B4" w:rsidRPr="00A507B5" w:rsidRDefault="00C742B4" w:rsidP="00C742B4">
      <w:pPr>
        <w:pStyle w:val="Zkladntext"/>
        <w:jc w:val="both"/>
      </w:pPr>
      <w:r w:rsidRPr="00A507B5">
        <w:t>Výdavky spoločnosti za rok 2010 predstavovali 19 804 tis. €, pričom najväčšou výdavkovou položkou bolo vyplatenie dividend akcionárovi v objeme 13 273 tis. €. Ostatné prevádzkové výdavky spoločnosti predstavovali 6 531 tis. €. SK, a.s. však dosiahla v priebehu roku 2010 také príjmy, ktoré zabezpečili finančné krytie jej personálnych a ostatných prevádzkových nákladov.</w:t>
      </w:r>
    </w:p>
    <w:p w:rsidR="00C742B4" w:rsidRPr="00A507B5" w:rsidRDefault="00C742B4" w:rsidP="00C742B4">
      <w:pPr>
        <w:pStyle w:val="Zkladntext"/>
        <w:jc w:val="both"/>
      </w:pPr>
    </w:p>
    <w:p w:rsidR="00C742B4" w:rsidRPr="00A507B5" w:rsidRDefault="00C742B4" w:rsidP="00C742B4">
      <w:pPr>
        <w:pStyle w:val="Nzev"/>
        <w:jc w:val="both"/>
        <w:rPr>
          <w:b w:val="0"/>
          <w:bC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48"/>
        <w:gridCol w:w="4064"/>
      </w:tblGrid>
      <w:tr w:rsidR="00C742B4" w:rsidRPr="00A507B5" w:rsidTr="00F74015">
        <w:trPr>
          <w:trHeight w:val="435"/>
        </w:trPr>
        <w:tc>
          <w:tcPr>
            <w:tcW w:w="5148" w:type="dxa"/>
            <w:tcBorders>
              <w:bottom w:val="single" w:sz="4" w:space="0" w:color="auto"/>
            </w:tcBorders>
          </w:tcPr>
          <w:p w:rsidR="00C742B4" w:rsidRPr="00A507B5" w:rsidRDefault="00C742B4" w:rsidP="00F74015">
            <w:pPr>
              <w:pStyle w:val="Nzev"/>
              <w:jc w:val="both"/>
              <w:rPr>
                <w:bCs/>
              </w:rPr>
            </w:pPr>
            <w:proofErr w:type="spellStart"/>
            <w:r w:rsidRPr="00A507B5">
              <w:rPr>
                <w:bCs/>
              </w:rPr>
              <w:t>Cash-flow</w:t>
            </w:r>
            <w:proofErr w:type="spellEnd"/>
          </w:p>
        </w:tc>
        <w:tc>
          <w:tcPr>
            <w:tcW w:w="4064" w:type="dxa"/>
            <w:tcBorders>
              <w:bottom w:val="single" w:sz="4" w:space="0" w:color="auto"/>
            </w:tcBorders>
          </w:tcPr>
          <w:p w:rsidR="00C742B4" w:rsidRPr="00A507B5" w:rsidRDefault="00C742B4" w:rsidP="00F74015">
            <w:pPr>
              <w:pStyle w:val="Nzev"/>
              <w:jc w:val="both"/>
              <w:rPr>
                <w:bCs/>
              </w:rPr>
            </w:pPr>
            <w:r w:rsidRPr="00A507B5">
              <w:rPr>
                <w:bCs/>
              </w:rPr>
              <w:t>Objem v tis. € k 31.12.2010</w:t>
            </w:r>
          </w:p>
        </w:tc>
      </w:tr>
      <w:tr w:rsidR="00C742B4" w:rsidRPr="00A507B5" w:rsidTr="00F74015">
        <w:tc>
          <w:tcPr>
            <w:tcW w:w="5148" w:type="dxa"/>
            <w:tcBorders>
              <w:top w:val="single" w:sz="4" w:space="0" w:color="auto"/>
              <w:bottom w:val="single" w:sz="4" w:space="0" w:color="auto"/>
            </w:tcBorders>
          </w:tcPr>
          <w:p w:rsidR="00C742B4" w:rsidRPr="00A507B5" w:rsidRDefault="00C742B4" w:rsidP="00F74015">
            <w:pPr>
              <w:pStyle w:val="Nzev"/>
              <w:jc w:val="both"/>
              <w:rPr>
                <w:b w:val="0"/>
                <w:bCs/>
              </w:rPr>
            </w:pPr>
            <w:r w:rsidRPr="00A507B5">
              <w:rPr>
                <w:b w:val="0"/>
                <w:bCs/>
              </w:rPr>
              <w:t>Stav peňažných prostriedkov k 1.1.2010</w:t>
            </w:r>
          </w:p>
        </w:tc>
        <w:tc>
          <w:tcPr>
            <w:tcW w:w="4064" w:type="dxa"/>
            <w:tcBorders>
              <w:top w:val="single" w:sz="4" w:space="0" w:color="auto"/>
              <w:bottom w:val="single" w:sz="4" w:space="0" w:color="auto"/>
            </w:tcBorders>
          </w:tcPr>
          <w:p w:rsidR="00C742B4" w:rsidRPr="00A507B5" w:rsidRDefault="00C742B4" w:rsidP="00F74015">
            <w:pPr>
              <w:pStyle w:val="Nzev"/>
              <w:jc w:val="both"/>
              <w:rPr>
                <w:b w:val="0"/>
                <w:bCs/>
              </w:rPr>
            </w:pPr>
            <w:r w:rsidRPr="00A507B5">
              <w:rPr>
                <w:b w:val="0"/>
                <w:bCs/>
              </w:rPr>
              <w:t>85 549</w:t>
            </w:r>
          </w:p>
        </w:tc>
      </w:tr>
      <w:tr w:rsidR="00C742B4" w:rsidRPr="00A507B5" w:rsidTr="00F74015">
        <w:tc>
          <w:tcPr>
            <w:tcW w:w="5148" w:type="dxa"/>
            <w:tcBorders>
              <w:top w:val="single" w:sz="4" w:space="0" w:color="auto"/>
            </w:tcBorders>
          </w:tcPr>
          <w:p w:rsidR="00C742B4" w:rsidRPr="00A507B5" w:rsidRDefault="00C742B4" w:rsidP="00F74015">
            <w:pPr>
              <w:pStyle w:val="Nzev"/>
              <w:jc w:val="both"/>
              <w:rPr>
                <w:bCs/>
              </w:rPr>
            </w:pPr>
          </w:p>
        </w:tc>
        <w:tc>
          <w:tcPr>
            <w:tcW w:w="4064" w:type="dxa"/>
            <w:tcBorders>
              <w:top w:val="single" w:sz="4" w:space="0" w:color="auto"/>
            </w:tcBorders>
          </w:tcPr>
          <w:p w:rsidR="00C742B4" w:rsidRPr="00A507B5" w:rsidRDefault="00C742B4" w:rsidP="00F74015">
            <w:pPr>
              <w:pStyle w:val="Nzev"/>
              <w:jc w:val="both"/>
              <w:rPr>
                <w:b w:val="0"/>
                <w:bCs/>
              </w:rPr>
            </w:pPr>
          </w:p>
        </w:tc>
      </w:tr>
      <w:tr w:rsidR="00C742B4" w:rsidRPr="00A507B5" w:rsidTr="00F74015">
        <w:tc>
          <w:tcPr>
            <w:tcW w:w="5148" w:type="dxa"/>
          </w:tcPr>
          <w:p w:rsidR="00C742B4" w:rsidRPr="00A507B5" w:rsidRDefault="00C742B4" w:rsidP="00F74015">
            <w:pPr>
              <w:pStyle w:val="Nzev"/>
              <w:jc w:val="both"/>
              <w:rPr>
                <w:bCs/>
              </w:rPr>
            </w:pPr>
            <w:r w:rsidRPr="00A507B5">
              <w:rPr>
                <w:bCs/>
              </w:rPr>
              <w:t>Príjmy</w:t>
            </w:r>
          </w:p>
        </w:tc>
        <w:tc>
          <w:tcPr>
            <w:tcW w:w="4064" w:type="dxa"/>
          </w:tcPr>
          <w:p w:rsidR="00C742B4" w:rsidRPr="00A507B5" w:rsidRDefault="00C742B4" w:rsidP="00F74015">
            <w:pPr>
              <w:pStyle w:val="Nzev"/>
              <w:jc w:val="both"/>
              <w:rPr>
                <w:b w:val="0"/>
                <w:bCs/>
              </w:rPr>
            </w:pPr>
          </w:p>
        </w:tc>
      </w:tr>
      <w:tr w:rsidR="00C742B4" w:rsidRPr="00A507B5" w:rsidTr="00F74015">
        <w:tc>
          <w:tcPr>
            <w:tcW w:w="5148" w:type="dxa"/>
          </w:tcPr>
          <w:p w:rsidR="00C742B4" w:rsidRPr="00A507B5" w:rsidRDefault="00C742B4" w:rsidP="00F74015">
            <w:pPr>
              <w:pStyle w:val="Nzev"/>
              <w:jc w:val="both"/>
              <w:rPr>
                <w:b w:val="0"/>
                <w:bCs/>
              </w:rPr>
            </w:pPr>
            <w:r w:rsidRPr="00A507B5">
              <w:rPr>
                <w:b w:val="0"/>
                <w:bCs/>
              </w:rPr>
              <w:t>Príjem z realizácie pohľadávok</w:t>
            </w:r>
          </w:p>
        </w:tc>
        <w:tc>
          <w:tcPr>
            <w:tcW w:w="4064" w:type="dxa"/>
          </w:tcPr>
          <w:p w:rsidR="00C742B4" w:rsidRPr="00A507B5" w:rsidRDefault="00C742B4" w:rsidP="00F74015">
            <w:pPr>
              <w:pStyle w:val="Nzev"/>
              <w:jc w:val="both"/>
              <w:rPr>
                <w:b w:val="0"/>
                <w:bCs/>
              </w:rPr>
            </w:pPr>
            <w:r w:rsidRPr="00A507B5">
              <w:rPr>
                <w:b w:val="0"/>
                <w:bCs/>
              </w:rPr>
              <w:t>11 604</w:t>
            </w:r>
          </w:p>
        </w:tc>
      </w:tr>
      <w:tr w:rsidR="00C742B4" w:rsidRPr="00A507B5" w:rsidTr="00F74015">
        <w:tc>
          <w:tcPr>
            <w:tcW w:w="5148" w:type="dxa"/>
          </w:tcPr>
          <w:p w:rsidR="00C742B4" w:rsidRPr="00A507B5" w:rsidRDefault="00C742B4" w:rsidP="00F74015">
            <w:pPr>
              <w:pStyle w:val="Nzev"/>
              <w:jc w:val="both"/>
              <w:rPr>
                <w:b w:val="0"/>
                <w:bCs/>
              </w:rPr>
            </w:pPr>
            <w:r w:rsidRPr="00A507B5">
              <w:rPr>
                <w:b w:val="0"/>
                <w:bCs/>
              </w:rPr>
              <w:t>Príjem z výnosových úrokov</w:t>
            </w:r>
          </w:p>
        </w:tc>
        <w:tc>
          <w:tcPr>
            <w:tcW w:w="4064" w:type="dxa"/>
          </w:tcPr>
          <w:p w:rsidR="00C742B4" w:rsidRPr="00A507B5" w:rsidRDefault="00C742B4" w:rsidP="00F74015">
            <w:pPr>
              <w:pStyle w:val="Nzev"/>
              <w:jc w:val="both"/>
              <w:rPr>
                <w:b w:val="0"/>
                <w:bCs/>
              </w:rPr>
            </w:pPr>
            <w:r w:rsidRPr="00A507B5">
              <w:rPr>
                <w:b w:val="0"/>
                <w:bCs/>
              </w:rPr>
              <w:t>470</w:t>
            </w:r>
          </w:p>
        </w:tc>
      </w:tr>
      <w:tr w:rsidR="00C742B4" w:rsidRPr="00A507B5" w:rsidTr="00F74015">
        <w:tc>
          <w:tcPr>
            <w:tcW w:w="5148" w:type="dxa"/>
          </w:tcPr>
          <w:p w:rsidR="00C742B4" w:rsidRPr="00A507B5" w:rsidRDefault="00C742B4" w:rsidP="00F74015">
            <w:pPr>
              <w:pStyle w:val="Nzev"/>
              <w:jc w:val="both"/>
              <w:rPr>
                <w:b w:val="0"/>
                <w:bCs/>
              </w:rPr>
            </w:pPr>
            <w:r w:rsidRPr="00A507B5">
              <w:rPr>
                <w:b w:val="0"/>
                <w:bCs/>
              </w:rPr>
              <w:t>Príjem iný (prenájom, vrátené súdne poplatky)</w:t>
            </w:r>
          </w:p>
        </w:tc>
        <w:tc>
          <w:tcPr>
            <w:tcW w:w="4064" w:type="dxa"/>
          </w:tcPr>
          <w:p w:rsidR="00C742B4" w:rsidRPr="00A507B5" w:rsidRDefault="00C742B4" w:rsidP="00F74015">
            <w:pPr>
              <w:pStyle w:val="Nzev"/>
              <w:jc w:val="both"/>
              <w:rPr>
                <w:b w:val="0"/>
                <w:bCs/>
              </w:rPr>
            </w:pPr>
            <w:r w:rsidRPr="00A507B5">
              <w:rPr>
                <w:b w:val="0"/>
                <w:bCs/>
              </w:rPr>
              <w:t>265</w:t>
            </w:r>
          </w:p>
        </w:tc>
      </w:tr>
      <w:tr w:rsidR="00C742B4" w:rsidRPr="00A507B5" w:rsidTr="00F74015">
        <w:tc>
          <w:tcPr>
            <w:tcW w:w="5148" w:type="dxa"/>
            <w:tcBorders>
              <w:bottom w:val="single" w:sz="4" w:space="0" w:color="auto"/>
            </w:tcBorders>
          </w:tcPr>
          <w:p w:rsidR="00C742B4" w:rsidRPr="00A507B5" w:rsidRDefault="00C742B4" w:rsidP="00F74015">
            <w:pPr>
              <w:pStyle w:val="Nzev"/>
              <w:jc w:val="both"/>
              <w:rPr>
                <w:b w:val="0"/>
                <w:bCs/>
              </w:rPr>
            </w:pPr>
            <w:r w:rsidRPr="00A507B5">
              <w:rPr>
                <w:b w:val="0"/>
                <w:bCs/>
              </w:rPr>
              <w:t>Spolu</w:t>
            </w:r>
          </w:p>
        </w:tc>
        <w:tc>
          <w:tcPr>
            <w:tcW w:w="4064" w:type="dxa"/>
            <w:tcBorders>
              <w:bottom w:val="single" w:sz="4" w:space="0" w:color="auto"/>
            </w:tcBorders>
          </w:tcPr>
          <w:p w:rsidR="00C742B4" w:rsidRPr="00A507B5" w:rsidRDefault="00C742B4" w:rsidP="00F74015">
            <w:pPr>
              <w:pStyle w:val="Nzev"/>
              <w:jc w:val="both"/>
              <w:rPr>
                <w:bCs/>
              </w:rPr>
            </w:pPr>
            <w:r w:rsidRPr="00A507B5">
              <w:rPr>
                <w:bCs/>
              </w:rPr>
              <w:t>12 339</w:t>
            </w:r>
          </w:p>
        </w:tc>
      </w:tr>
      <w:tr w:rsidR="00C742B4" w:rsidRPr="00A507B5" w:rsidTr="00F74015">
        <w:tc>
          <w:tcPr>
            <w:tcW w:w="5148" w:type="dxa"/>
            <w:tcBorders>
              <w:top w:val="single" w:sz="4" w:space="0" w:color="auto"/>
            </w:tcBorders>
          </w:tcPr>
          <w:p w:rsidR="00C742B4" w:rsidRPr="00A507B5" w:rsidRDefault="00C742B4" w:rsidP="00F74015">
            <w:pPr>
              <w:pStyle w:val="Nzev"/>
              <w:jc w:val="both"/>
              <w:rPr>
                <w:b w:val="0"/>
                <w:bCs/>
              </w:rPr>
            </w:pPr>
          </w:p>
        </w:tc>
        <w:tc>
          <w:tcPr>
            <w:tcW w:w="4064" w:type="dxa"/>
            <w:tcBorders>
              <w:top w:val="single" w:sz="4" w:space="0" w:color="auto"/>
            </w:tcBorders>
          </w:tcPr>
          <w:p w:rsidR="00C742B4" w:rsidRPr="00A507B5" w:rsidRDefault="00C742B4" w:rsidP="00F74015">
            <w:pPr>
              <w:pStyle w:val="Nzev"/>
              <w:jc w:val="both"/>
              <w:rPr>
                <w:b w:val="0"/>
                <w:bCs/>
              </w:rPr>
            </w:pPr>
          </w:p>
        </w:tc>
      </w:tr>
      <w:tr w:rsidR="00C742B4" w:rsidRPr="00A507B5" w:rsidTr="00F74015">
        <w:tc>
          <w:tcPr>
            <w:tcW w:w="5148" w:type="dxa"/>
          </w:tcPr>
          <w:p w:rsidR="00C742B4" w:rsidRPr="00A507B5" w:rsidRDefault="00C742B4" w:rsidP="00F74015">
            <w:pPr>
              <w:pStyle w:val="Nzev"/>
              <w:jc w:val="both"/>
              <w:rPr>
                <w:bCs/>
              </w:rPr>
            </w:pPr>
            <w:r w:rsidRPr="00A507B5">
              <w:rPr>
                <w:bCs/>
              </w:rPr>
              <w:t>Výdavky</w:t>
            </w:r>
          </w:p>
        </w:tc>
        <w:tc>
          <w:tcPr>
            <w:tcW w:w="4064" w:type="dxa"/>
          </w:tcPr>
          <w:p w:rsidR="00C742B4" w:rsidRPr="00A507B5" w:rsidRDefault="00C742B4" w:rsidP="00F74015">
            <w:pPr>
              <w:pStyle w:val="Nzev"/>
              <w:jc w:val="both"/>
              <w:rPr>
                <w:b w:val="0"/>
                <w:bCs/>
              </w:rPr>
            </w:pPr>
          </w:p>
        </w:tc>
      </w:tr>
      <w:tr w:rsidR="00C742B4" w:rsidRPr="00A507B5" w:rsidTr="00F74015">
        <w:tc>
          <w:tcPr>
            <w:tcW w:w="5148" w:type="dxa"/>
          </w:tcPr>
          <w:p w:rsidR="00C742B4" w:rsidRPr="00A507B5" w:rsidRDefault="00C742B4" w:rsidP="00F74015">
            <w:pPr>
              <w:pStyle w:val="Nzev"/>
              <w:jc w:val="both"/>
              <w:rPr>
                <w:b w:val="0"/>
                <w:bCs/>
              </w:rPr>
            </w:pPr>
            <w:r w:rsidRPr="00A507B5">
              <w:rPr>
                <w:b w:val="0"/>
                <w:bCs/>
              </w:rPr>
              <w:t>Personálne výdavky</w:t>
            </w:r>
          </w:p>
        </w:tc>
        <w:tc>
          <w:tcPr>
            <w:tcW w:w="4064" w:type="dxa"/>
          </w:tcPr>
          <w:p w:rsidR="00C742B4" w:rsidRPr="00A507B5" w:rsidRDefault="00C742B4" w:rsidP="00F74015">
            <w:pPr>
              <w:pStyle w:val="Nzev"/>
              <w:jc w:val="both"/>
              <w:rPr>
                <w:b w:val="0"/>
                <w:bCs/>
              </w:rPr>
            </w:pPr>
            <w:r w:rsidRPr="00A507B5">
              <w:rPr>
                <w:b w:val="0"/>
                <w:bCs/>
              </w:rPr>
              <w:t>5 221</w:t>
            </w:r>
          </w:p>
        </w:tc>
      </w:tr>
      <w:tr w:rsidR="00C742B4" w:rsidRPr="00A507B5" w:rsidTr="00F74015">
        <w:tc>
          <w:tcPr>
            <w:tcW w:w="5148" w:type="dxa"/>
          </w:tcPr>
          <w:p w:rsidR="00C742B4" w:rsidRPr="00A507B5" w:rsidRDefault="00C742B4" w:rsidP="00F74015">
            <w:pPr>
              <w:pStyle w:val="Nzev"/>
              <w:jc w:val="both"/>
              <w:rPr>
                <w:b w:val="0"/>
                <w:bCs/>
              </w:rPr>
            </w:pPr>
            <w:r w:rsidRPr="00A507B5">
              <w:rPr>
                <w:b w:val="0"/>
                <w:bCs/>
              </w:rPr>
              <w:t>Ostatné prevádzkové výdavky</w:t>
            </w:r>
          </w:p>
        </w:tc>
        <w:tc>
          <w:tcPr>
            <w:tcW w:w="4064" w:type="dxa"/>
          </w:tcPr>
          <w:p w:rsidR="00C742B4" w:rsidRPr="00A507B5" w:rsidRDefault="00C742B4" w:rsidP="00F74015">
            <w:pPr>
              <w:pStyle w:val="Nzev"/>
              <w:jc w:val="both"/>
              <w:rPr>
                <w:b w:val="0"/>
                <w:bCs/>
              </w:rPr>
            </w:pPr>
            <w:r w:rsidRPr="00A507B5">
              <w:rPr>
                <w:b w:val="0"/>
                <w:bCs/>
              </w:rPr>
              <w:t>742</w:t>
            </w:r>
          </w:p>
        </w:tc>
      </w:tr>
      <w:tr w:rsidR="00C742B4" w:rsidRPr="00A507B5" w:rsidTr="00F74015">
        <w:tc>
          <w:tcPr>
            <w:tcW w:w="5148" w:type="dxa"/>
          </w:tcPr>
          <w:p w:rsidR="00C742B4" w:rsidRPr="00A507B5" w:rsidRDefault="00C742B4" w:rsidP="00F74015">
            <w:pPr>
              <w:pStyle w:val="Nzev"/>
              <w:jc w:val="both"/>
              <w:rPr>
                <w:b w:val="0"/>
                <w:bCs/>
              </w:rPr>
            </w:pPr>
            <w:r w:rsidRPr="00A507B5">
              <w:rPr>
                <w:b w:val="0"/>
                <w:bCs/>
              </w:rPr>
              <w:t>Obstaranie majetku</w:t>
            </w:r>
          </w:p>
        </w:tc>
        <w:tc>
          <w:tcPr>
            <w:tcW w:w="4064" w:type="dxa"/>
          </w:tcPr>
          <w:p w:rsidR="00C742B4" w:rsidRPr="00A507B5" w:rsidRDefault="00C742B4" w:rsidP="00F74015">
            <w:pPr>
              <w:pStyle w:val="Nzev"/>
              <w:jc w:val="both"/>
              <w:rPr>
                <w:b w:val="0"/>
                <w:bCs/>
              </w:rPr>
            </w:pPr>
            <w:r w:rsidRPr="00A507B5">
              <w:rPr>
                <w:b w:val="0"/>
                <w:bCs/>
              </w:rPr>
              <w:t>175</w:t>
            </w:r>
          </w:p>
        </w:tc>
      </w:tr>
      <w:tr w:rsidR="00C742B4" w:rsidRPr="00A507B5" w:rsidTr="00F74015">
        <w:tc>
          <w:tcPr>
            <w:tcW w:w="5148" w:type="dxa"/>
          </w:tcPr>
          <w:p w:rsidR="00C742B4" w:rsidRPr="00A507B5" w:rsidRDefault="00C742B4" w:rsidP="00F74015">
            <w:pPr>
              <w:pStyle w:val="Nzev"/>
              <w:jc w:val="both"/>
              <w:rPr>
                <w:b w:val="0"/>
                <w:bCs/>
              </w:rPr>
            </w:pPr>
            <w:r w:rsidRPr="00A507B5">
              <w:rPr>
                <w:b w:val="0"/>
                <w:bCs/>
              </w:rPr>
              <w:t>Iné výdavky</w:t>
            </w:r>
          </w:p>
          <w:p w:rsidR="00C742B4" w:rsidRPr="00A507B5" w:rsidRDefault="00C742B4" w:rsidP="00F74015">
            <w:pPr>
              <w:pStyle w:val="Nzev"/>
              <w:jc w:val="both"/>
              <w:rPr>
                <w:b w:val="0"/>
                <w:bCs/>
              </w:rPr>
            </w:pPr>
            <w:r w:rsidRPr="00A507B5">
              <w:rPr>
                <w:b w:val="0"/>
                <w:bCs/>
              </w:rPr>
              <w:t>Dividendy</w:t>
            </w:r>
          </w:p>
        </w:tc>
        <w:tc>
          <w:tcPr>
            <w:tcW w:w="4064" w:type="dxa"/>
          </w:tcPr>
          <w:p w:rsidR="00C742B4" w:rsidRPr="00A507B5" w:rsidRDefault="00C742B4" w:rsidP="00F74015">
            <w:pPr>
              <w:pStyle w:val="Nzev"/>
              <w:jc w:val="both"/>
              <w:rPr>
                <w:b w:val="0"/>
                <w:bCs/>
              </w:rPr>
            </w:pPr>
            <w:r w:rsidRPr="00A507B5">
              <w:rPr>
                <w:b w:val="0"/>
                <w:bCs/>
              </w:rPr>
              <w:t>393</w:t>
            </w:r>
          </w:p>
          <w:p w:rsidR="00C742B4" w:rsidRPr="00A507B5" w:rsidRDefault="00C742B4" w:rsidP="00F74015">
            <w:pPr>
              <w:pStyle w:val="Nzev"/>
              <w:jc w:val="both"/>
              <w:rPr>
                <w:b w:val="0"/>
                <w:bCs/>
              </w:rPr>
            </w:pPr>
            <w:r w:rsidRPr="00A507B5">
              <w:rPr>
                <w:b w:val="0"/>
                <w:bCs/>
              </w:rPr>
              <w:t>13 273</w:t>
            </w:r>
          </w:p>
        </w:tc>
      </w:tr>
      <w:tr w:rsidR="00C742B4" w:rsidRPr="00A507B5" w:rsidTr="00F74015">
        <w:tc>
          <w:tcPr>
            <w:tcW w:w="5148" w:type="dxa"/>
            <w:tcBorders>
              <w:bottom w:val="single" w:sz="4" w:space="0" w:color="auto"/>
            </w:tcBorders>
          </w:tcPr>
          <w:p w:rsidR="00C742B4" w:rsidRPr="00A507B5" w:rsidRDefault="00C742B4" w:rsidP="00F74015">
            <w:pPr>
              <w:pStyle w:val="Nzev"/>
              <w:jc w:val="both"/>
              <w:rPr>
                <w:b w:val="0"/>
                <w:bCs/>
              </w:rPr>
            </w:pPr>
            <w:r w:rsidRPr="00A507B5">
              <w:rPr>
                <w:b w:val="0"/>
                <w:bCs/>
              </w:rPr>
              <w:t>Spolu</w:t>
            </w:r>
          </w:p>
        </w:tc>
        <w:tc>
          <w:tcPr>
            <w:tcW w:w="4064" w:type="dxa"/>
            <w:tcBorders>
              <w:bottom w:val="single" w:sz="4" w:space="0" w:color="auto"/>
            </w:tcBorders>
          </w:tcPr>
          <w:p w:rsidR="00C742B4" w:rsidRPr="00A507B5" w:rsidRDefault="00C742B4" w:rsidP="00F74015">
            <w:pPr>
              <w:pStyle w:val="Nzev"/>
              <w:jc w:val="both"/>
              <w:rPr>
                <w:bCs/>
              </w:rPr>
            </w:pPr>
            <w:r w:rsidRPr="00A507B5">
              <w:rPr>
                <w:bCs/>
              </w:rPr>
              <w:t>19 804</w:t>
            </w:r>
          </w:p>
        </w:tc>
      </w:tr>
      <w:tr w:rsidR="00C742B4" w:rsidRPr="00A507B5" w:rsidTr="00F74015">
        <w:tc>
          <w:tcPr>
            <w:tcW w:w="5148" w:type="dxa"/>
            <w:tcBorders>
              <w:top w:val="single" w:sz="4" w:space="0" w:color="auto"/>
            </w:tcBorders>
          </w:tcPr>
          <w:p w:rsidR="00C742B4" w:rsidRPr="00A507B5" w:rsidRDefault="00C742B4" w:rsidP="00F74015">
            <w:pPr>
              <w:pStyle w:val="Nzev"/>
              <w:jc w:val="both"/>
              <w:rPr>
                <w:b w:val="0"/>
                <w:bCs/>
              </w:rPr>
            </w:pPr>
          </w:p>
        </w:tc>
        <w:tc>
          <w:tcPr>
            <w:tcW w:w="4064" w:type="dxa"/>
            <w:tcBorders>
              <w:top w:val="single" w:sz="4" w:space="0" w:color="auto"/>
            </w:tcBorders>
          </w:tcPr>
          <w:p w:rsidR="00C742B4" w:rsidRPr="00A507B5" w:rsidRDefault="00C742B4" w:rsidP="00F74015">
            <w:pPr>
              <w:pStyle w:val="Nzev"/>
              <w:jc w:val="both"/>
              <w:rPr>
                <w:b w:val="0"/>
                <w:bCs/>
              </w:rPr>
            </w:pPr>
          </w:p>
        </w:tc>
      </w:tr>
      <w:tr w:rsidR="00C742B4" w:rsidRPr="00A507B5" w:rsidTr="00F74015">
        <w:tc>
          <w:tcPr>
            <w:tcW w:w="5148" w:type="dxa"/>
            <w:tcBorders>
              <w:bottom w:val="single" w:sz="4" w:space="0" w:color="auto"/>
            </w:tcBorders>
          </w:tcPr>
          <w:p w:rsidR="00C742B4" w:rsidRPr="00A507B5" w:rsidRDefault="00C742B4" w:rsidP="00F74015">
            <w:pPr>
              <w:pStyle w:val="Nzev"/>
              <w:jc w:val="both"/>
              <w:rPr>
                <w:bCs/>
              </w:rPr>
            </w:pPr>
            <w:r w:rsidRPr="00A507B5">
              <w:rPr>
                <w:bCs/>
              </w:rPr>
              <w:t>Čisté peňažné toky</w:t>
            </w:r>
          </w:p>
        </w:tc>
        <w:tc>
          <w:tcPr>
            <w:tcW w:w="4064" w:type="dxa"/>
            <w:tcBorders>
              <w:bottom w:val="single" w:sz="4" w:space="0" w:color="auto"/>
            </w:tcBorders>
          </w:tcPr>
          <w:p w:rsidR="00C742B4" w:rsidRPr="00A507B5" w:rsidRDefault="00C742B4" w:rsidP="00F74015">
            <w:pPr>
              <w:pStyle w:val="Nzev"/>
              <w:jc w:val="both"/>
              <w:rPr>
                <w:bCs/>
              </w:rPr>
            </w:pPr>
            <w:r w:rsidRPr="00A507B5">
              <w:rPr>
                <w:bCs/>
              </w:rPr>
              <w:t>-7 465</w:t>
            </w:r>
          </w:p>
        </w:tc>
      </w:tr>
      <w:tr w:rsidR="00C742B4" w:rsidRPr="00A507B5" w:rsidTr="00F74015">
        <w:tc>
          <w:tcPr>
            <w:tcW w:w="5148" w:type="dxa"/>
            <w:tcBorders>
              <w:top w:val="single" w:sz="4" w:space="0" w:color="auto"/>
            </w:tcBorders>
          </w:tcPr>
          <w:p w:rsidR="00C742B4" w:rsidRPr="00A507B5" w:rsidRDefault="00C742B4" w:rsidP="00F74015">
            <w:pPr>
              <w:pStyle w:val="Nzev"/>
              <w:jc w:val="both"/>
              <w:rPr>
                <w:b w:val="0"/>
                <w:bCs/>
              </w:rPr>
            </w:pPr>
            <w:r w:rsidRPr="00A507B5">
              <w:rPr>
                <w:b w:val="0"/>
                <w:bCs/>
              </w:rPr>
              <w:t>Stav peňažných prostriedkov k 31.12.2010</w:t>
            </w:r>
          </w:p>
        </w:tc>
        <w:tc>
          <w:tcPr>
            <w:tcW w:w="4064" w:type="dxa"/>
            <w:tcBorders>
              <w:top w:val="single" w:sz="4" w:space="0" w:color="auto"/>
            </w:tcBorders>
          </w:tcPr>
          <w:p w:rsidR="00C742B4" w:rsidRPr="00A507B5" w:rsidRDefault="00C742B4" w:rsidP="00F74015">
            <w:pPr>
              <w:pStyle w:val="Nzev"/>
              <w:jc w:val="both"/>
              <w:rPr>
                <w:b w:val="0"/>
                <w:bCs/>
              </w:rPr>
            </w:pPr>
            <w:r w:rsidRPr="00A507B5">
              <w:rPr>
                <w:b w:val="0"/>
                <w:bCs/>
              </w:rPr>
              <w:t>78 084</w:t>
            </w:r>
          </w:p>
        </w:tc>
      </w:tr>
    </w:tbl>
    <w:p w:rsidR="00C742B4" w:rsidRPr="00A507B5" w:rsidRDefault="00C742B4" w:rsidP="00C742B4">
      <w:pPr>
        <w:pStyle w:val="Nzev"/>
        <w:jc w:val="both"/>
        <w:rPr>
          <w:b w:val="0"/>
          <w:bCs/>
        </w:rPr>
      </w:pPr>
    </w:p>
    <w:p w:rsidR="00C742B4" w:rsidRPr="00A507B5" w:rsidRDefault="00C742B4" w:rsidP="00C742B4">
      <w:pPr>
        <w:ind w:left="360"/>
        <w:jc w:val="both"/>
      </w:pPr>
    </w:p>
    <w:p w:rsidR="00C742B4" w:rsidRPr="00A507B5" w:rsidRDefault="00C742B4" w:rsidP="00C742B4">
      <w:pPr>
        <w:pStyle w:val="nzov1"/>
        <w:rPr>
          <w:color w:val="00B050"/>
          <w:szCs w:val="28"/>
        </w:rPr>
      </w:pPr>
      <w:bookmarkStart w:id="19" w:name="_Toc289692066"/>
      <w:r w:rsidRPr="00A507B5">
        <w:rPr>
          <w:color w:val="00B050"/>
          <w:szCs w:val="28"/>
        </w:rPr>
        <w:t>3.4 Finančné investície a krátkodobé cenné papiere</w:t>
      </w:r>
      <w:bookmarkEnd w:id="18"/>
      <w:bookmarkEnd w:id="19"/>
    </w:p>
    <w:p w:rsidR="00C742B4" w:rsidRPr="00A507B5" w:rsidRDefault="00C742B4" w:rsidP="00C742B4">
      <w:pPr>
        <w:pStyle w:val="Styl1"/>
      </w:pPr>
    </w:p>
    <w:p w:rsidR="00C742B4" w:rsidRPr="00A507B5" w:rsidRDefault="00C742B4" w:rsidP="00C742B4">
      <w:pPr>
        <w:pStyle w:val="Styl1"/>
      </w:pPr>
    </w:p>
    <w:p w:rsidR="00C742B4" w:rsidRPr="00A507B5" w:rsidRDefault="00C742B4" w:rsidP="00C742B4">
      <w:pPr>
        <w:jc w:val="both"/>
      </w:pPr>
      <w:r w:rsidRPr="00A507B5">
        <w:t>V portfóliu majetkových účastí SK, a.s. zostávajú naďalej cenné papiere spoločnosti LETECKÉ MOTORY, a.s., 5 ks hromadných akcií (32 000 ks) v menovitej hodnote 33,2 €. SK, a.s. má na základnom imaní spoločnosti Považské strojárne LETECKÉ MOTORY, a.s. 2,19%-ný podiel. Na spoločnosť bol  uznesením Okresného súdu Bratislava I. dňa 26.4.2010 vyhlásený konkurz.</w:t>
      </w:r>
    </w:p>
    <w:p w:rsidR="00C742B4" w:rsidRPr="00A507B5" w:rsidRDefault="00C742B4" w:rsidP="00C742B4">
      <w:pPr>
        <w:pStyle w:val="nzov1"/>
        <w:rPr>
          <w:rFonts w:eastAsia="Calibri"/>
          <w:color w:val="00B050"/>
          <w:sz w:val="26"/>
          <w:szCs w:val="26"/>
        </w:rPr>
      </w:pPr>
      <w:bookmarkStart w:id="20" w:name="_Toc289692067"/>
      <w:r w:rsidRPr="00A507B5">
        <w:rPr>
          <w:color w:val="00B050"/>
        </w:rPr>
        <w:lastRenderedPageBreak/>
        <w:t>3.5 Údaje o skutočnostiach, ktoré nastali medzi dňom, ku ktorému sa zostavuje účtovná závierka a dňom jej zostavenia</w:t>
      </w:r>
      <w:bookmarkEnd w:id="20"/>
    </w:p>
    <w:p w:rsidR="00C742B4" w:rsidRPr="00A507B5" w:rsidRDefault="00C742B4" w:rsidP="00C742B4">
      <w:pPr>
        <w:ind w:left="360"/>
        <w:jc w:val="both"/>
      </w:pPr>
    </w:p>
    <w:p w:rsidR="00C742B4" w:rsidRPr="00A507B5" w:rsidRDefault="00C742B4" w:rsidP="00C742B4">
      <w:pPr>
        <w:pStyle w:val="Zkladntext"/>
        <w:jc w:val="both"/>
        <w:rPr>
          <w:lang w:val="cs-CZ"/>
        </w:rPr>
      </w:pPr>
    </w:p>
    <w:p w:rsidR="00C742B4" w:rsidRPr="00A507B5" w:rsidRDefault="00C742B4" w:rsidP="00C742B4">
      <w:pPr>
        <w:pStyle w:val="Zkladntext"/>
        <w:jc w:val="both"/>
        <w:rPr>
          <w:lang w:val="cs-CZ"/>
        </w:rPr>
      </w:pPr>
      <w:r w:rsidRPr="00A507B5">
        <w:rPr>
          <w:lang w:val="cs-CZ"/>
        </w:rPr>
        <w:t xml:space="preserve">Rozhodnutím jediného </w:t>
      </w:r>
      <w:proofErr w:type="spellStart"/>
      <w:r w:rsidRPr="00A507B5">
        <w:rPr>
          <w:lang w:val="cs-CZ"/>
        </w:rPr>
        <w:t>akcionára</w:t>
      </w:r>
      <w:proofErr w:type="spellEnd"/>
      <w:r w:rsidRPr="00A507B5">
        <w:rPr>
          <w:lang w:val="cs-CZ"/>
        </w:rPr>
        <w:t xml:space="preserve"> MF SR </w:t>
      </w:r>
      <w:proofErr w:type="spellStart"/>
      <w:r w:rsidRPr="00A507B5">
        <w:rPr>
          <w:lang w:val="cs-CZ"/>
        </w:rPr>
        <w:t>prijatého</w:t>
      </w:r>
      <w:proofErr w:type="spellEnd"/>
      <w:r w:rsidRPr="00A507B5">
        <w:rPr>
          <w:lang w:val="cs-CZ"/>
        </w:rPr>
        <w:t xml:space="preserve"> v </w:t>
      </w:r>
      <w:proofErr w:type="spellStart"/>
      <w:r w:rsidRPr="00A507B5">
        <w:rPr>
          <w:lang w:val="cs-CZ"/>
        </w:rPr>
        <w:t>pôsobnosti</w:t>
      </w:r>
      <w:proofErr w:type="spellEnd"/>
      <w:r w:rsidRPr="00A507B5">
        <w:rPr>
          <w:lang w:val="cs-CZ"/>
        </w:rPr>
        <w:t xml:space="preserve"> valného </w:t>
      </w:r>
      <w:proofErr w:type="spellStart"/>
      <w:r w:rsidRPr="00A507B5">
        <w:rPr>
          <w:lang w:val="cs-CZ"/>
        </w:rPr>
        <w:t>zhromaždenia</w:t>
      </w:r>
      <w:proofErr w:type="spellEnd"/>
      <w:r w:rsidRPr="00A507B5">
        <w:rPr>
          <w:lang w:val="cs-CZ"/>
        </w:rPr>
        <w:t xml:space="preserve"> </w:t>
      </w:r>
      <w:proofErr w:type="spellStart"/>
      <w:r>
        <w:rPr>
          <w:lang w:val="cs-CZ"/>
        </w:rPr>
        <w:t>dňa</w:t>
      </w:r>
      <w:proofErr w:type="spellEnd"/>
      <w:r>
        <w:rPr>
          <w:lang w:val="cs-CZ"/>
        </w:rPr>
        <w:t> </w:t>
      </w:r>
      <w:proofErr w:type="gramStart"/>
      <w:r w:rsidRPr="00A507B5">
        <w:rPr>
          <w:lang w:val="cs-CZ"/>
        </w:rPr>
        <w:t>24.1</w:t>
      </w:r>
      <w:r>
        <w:rPr>
          <w:lang w:val="cs-CZ"/>
        </w:rPr>
        <w:t>.</w:t>
      </w:r>
      <w:r w:rsidRPr="00A507B5">
        <w:rPr>
          <w:lang w:val="cs-CZ"/>
        </w:rPr>
        <w:t>2011</w:t>
      </w:r>
      <w:proofErr w:type="gramEnd"/>
      <w:r w:rsidRPr="00A507B5">
        <w:rPr>
          <w:lang w:val="cs-CZ"/>
        </w:rPr>
        <w:t xml:space="preserve"> došlo k </w:t>
      </w:r>
      <w:proofErr w:type="spellStart"/>
      <w:r w:rsidRPr="00A507B5">
        <w:rPr>
          <w:lang w:val="cs-CZ"/>
        </w:rPr>
        <w:t>zmene</w:t>
      </w:r>
      <w:proofErr w:type="spellEnd"/>
      <w:r w:rsidRPr="00A507B5">
        <w:rPr>
          <w:lang w:val="cs-CZ"/>
        </w:rPr>
        <w:t xml:space="preserve"> </w:t>
      </w:r>
      <w:proofErr w:type="spellStart"/>
      <w:r w:rsidRPr="00A507B5">
        <w:rPr>
          <w:lang w:val="cs-CZ"/>
        </w:rPr>
        <w:t>členov</w:t>
      </w:r>
      <w:proofErr w:type="spellEnd"/>
      <w:r w:rsidRPr="00A507B5">
        <w:rPr>
          <w:lang w:val="cs-CZ"/>
        </w:rPr>
        <w:t xml:space="preserve"> </w:t>
      </w:r>
      <w:proofErr w:type="spellStart"/>
      <w:r w:rsidRPr="00A507B5">
        <w:rPr>
          <w:lang w:val="cs-CZ"/>
        </w:rPr>
        <w:t>Dozornej</w:t>
      </w:r>
      <w:proofErr w:type="spellEnd"/>
      <w:r w:rsidRPr="00A507B5">
        <w:rPr>
          <w:lang w:val="cs-CZ"/>
        </w:rPr>
        <w:t xml:space="preserve"> rady SK, a.s., v časti 5. </w:t>
      </w:r>
      <w:proofErr w:type="spellStart"/>
      <w:r w:rsidRPr="00A507B5">
        <w:rPr>
          <w:lang w:val="cs-CZ"/>
        </w:rPr>
        <w:t>Zloženie</w:t>
      </w:r>
      <w:proofErr w:type="spellEnd"/>
      <w:r w:rsidRPr="00A507B5">
        <w:rPr>
          <w:lang w:val="cs-CZ"/>
        </w:rPr>
        <w:t xml:space="preserve"> </w:t>
      </w:r>
      <w:proofErr w:type="spellStart"/>
      <w:r w:rsidRPr="00A507B5">
        <w:rPr>
          <w:lang w:val="cs-CZ"/>
        </w:rPr>
        <w:t>orgánov</w:t>
      </w:r>
      <w:proofErr w:type="spellEnd"/>
      <w:r w:rsidRPr="00A507B5">
        <w:rPr>
          <w:lang w:val="cs-CZ"/>
        </w:rPr>
        <w:t xml:space="preserve"> je uvedený </w:t>
      </w:r>
      <w:proofErr w:type="spellStart"/>
      <w:r w:rsidRPr="00A507B5">
        <w:rPr>
          <w:lang w:val="cs-CZ"/>
        </w:rPr>
        <w:t>prehľad</w:t>
      </w:r>
      <w:proofErr w:type="spellEnd"/>
      <w:r w:rsidRPr="00A507B5">
        <w:rPr>
          <w:lang w:val="cs-CZ"/>
        </w:rPr>
        <w:t xml:space="preserve"> jednotlivých </w:t>
      </w:r>
      <w:proofErr w:type="spellStart"/>
      <w:r w:rsidRPr="00A507B5">
        <w:rPr>
          <w:lang w:val="cs-CZ"/>
        </w:rPr>
        <w:t>členov</w:t>
      </w:r>
      <w:proofErr w:type="spellEnd"/>
      <w:r w:rsidRPr="00A507B5">
        <w:rPr>
          <w:lang w:val="cs-CZ"/>
        </w:rPr>
        <w:t>.</w:t>
      </w:r>
    </w:p>
    <w:p w:rsidR="00C742B4" w:rsidRPr="00A507B5" w:rsidRDefault="00C742B4" w:rsidP="00C742B4">
      <w:pPr>
        <w:pStyle w:val="Zkladntext"/>
        <w:jc w:val="both"/>
        <w:rPr>
          <w:lang w:val="cs-CZ"/>
        </w:rPr>
      </w:pPr>
    </w:p>
    <w:p w:rsidR="00C742B4" w:rsidRPr="00A507B5" w:rsidRDefault="00C742B4" w:rsidP="00C742B4">
      <w:pPr>
        <w:pStyle w:val="Styl1"/>
        <w:rPr>
          <w:b/>
          <w:bCs/>
          <w:i/>
          <w:iCs/>
        </w:rPr>
      </w:pPr>
    </w:p>
    <w:p w:rsidR="00C742B4" w:rsidRPr="00A507B5" w:rsidRDefault="00C742B4" w:rsidP="00C742B4">
      <w:pPr>
        <w:ind w:left="360"/>
        <w:jc w:val="both"/>
      </w:pPr>
      <w:bookmarkStart w:id="21" w:name="_Toc164237070"/>
      <w:bookmarkStart w:id="22" w:name="_Toc132424060"/>
      <w:bookmarkStart w:id="23" w:name="_Toc164064137"/>
    </w:p>
    <w:p w:rsidR="00C742B4" w:rsidRPr="00A507B5" w:rsidRDefault="00C742B4" w:rsidP="00C742B4">
      <w:pPr>
        <w:pStyle w:val="nzov1"/>
      </w:pPr>
      <w:bookmarkStart w:id="24" w:name="_Toc289692068"/>
      <w:r w:rsidRPr="00A507B5">
        <w:t>4. Systém vnútornej kontroly v SK, a.s.</w:t>
      </w:r>
      <w:bookmarkEnd w:id="21"/>
      <w:bookmarkEnd w:id="24"/>
    </w:p>
    <w:p w:rsidR="00C742B4" w:rsidRPr="00A507B5" w:rsidRDefault="00C742B4" w:rsidP="00C742B4">
      <w:pPr>
        <w:pStyle w:val="Zkladntext"/>
        <w:jc w:val="both"/>
        <w:rPr>
          <w:i/>
          <w:u w:val="single"/>
        </w:rPr>
      </w:pPr>
    </w:p>
    <w:p w:rsidR="00C742B4" w:rsidRPr="00A507B5" w:rsidRDefault="00C742B4" w:rsidP="00C742B4">
      <w:pPr>
        <w:pStyle w:val="Zkladntext"/>
        <w:jc w:val="both"/>
        <w:rPr>
          <w:i/>
          <w:u w:val="single"/>
        </w:rPr>
      </w:pPr>
    </w:p>
    <w:p w:rsidR="00C742B4" w:rsidRPr="00A507B5" w:rsidRDefault="00C742B4" w:rsidP="00C742B4">
      <w:pPr>
        <w:jc w:val="both"/>
      </w:pPr>
      <w:r w:rsidRPr="00A507B5">
        <w:t>Uplatňovanie vnútorného kontrolného systému v podmienkach spoločnosti bolo v roku 2010 realizované v súlade s hlavnými cieľmi jej obchodnej činnosti. Odborným garantom pre výkon vnútornej kontroly je odbor vnútorného dozoru. Jeho činnosť bola v hodnotenom období riadená plánom kontrolnej činnosti schváleným dozornou radou, pokynmi predsedu dozornej rady, predstavenstva a generálneho riaditeľa. Zameranie vnútornej kontroly bolo orientované na rozhodujúce oblasti činnosti spoločnosti v nadväznosti na všeobecne záväzné právne predpisy a vnútorné predpisy.</w:t>
      </w:r>
    </w:p>
    <w:p w:rsidR="00C742B4" w:rsidRPr="00A507B5" w:rsidRDefault="00C742B4" w:rsidP="00C742B4">
      <w:pPr>
        <w:jc w:val="both"/>
      </w:pPr>
    </w:p>
    <w:p w:rsidR="00C742B4" w:rsidRPr="00A507B5" w:rsidRDefault="00C742B4" w:rsidP="00C742B4">
      <w:pPr>
        <w:pStyle w:val="Zkladntext"/>
        <w:jc w:val="both"/>
      </w:pPr>
      <w:r w:rsidRPr="00A507B5">
        <w:t>V oblasti správy a vymáhania pohľadávok bola vykonaná kontrola postupov pri zastavení exekúcie v podmienkach SK, a.s. s dôrazom na odbornú starostlivosť pri ukončení vymáhania pohľadávok prostredníctvom exekúcie. Ďalšou kontrolou bola overená správnosť vymáhania a vyraďovania pohľadávok evidovaných na podsúvahových účtoch spoločnosti. V nadväznosti na proces nadobúdania pohľadávok do SK, a</w:t>
      </w:r>
      <w:r>
        <w:t>.s. boli revidované postupy pri </w:t>
      </w:r>
      <w:r w:rsidRPr="00A507B5">
        <w:t xml:space="preserve">prevzatí pohľadávok zo Sociálnej poisťovne vrátane prislúchajúcej dokumentácie a ich vymáhania. </w:t>
      </w:r>
    </w:p>
    <w:p w:rsidR="00C742B4" w:rsidRPr="00A507B5" w:rsidRDefault="00C742B4" w:rsidP="00C742B4">
      <w:pPr>
        <w:pStyle w:val="Zkladntext"/>
        <w:jc w:val="both"/>
      </w:pPr>
    </w:p>
    <w:p w:rsidR="00C742B4" w:rsidRPr="00A507B5" w:rsidRDefault="00C742B4" w:rsidP="00C742B4">
      <w:pPr>
        <w:pStyle w:val="Zkladntext"/>
        <w:jc w:val="both"/>
      </w:pPr>
      <w:r w:rsidRPr="00A507B5">
        <w:t>Na úseku obchodnej činnosti spoločnosti boli priebežne formou procesnej kontroly monitorované postupy pri výbere spolupracujúcich k</w:t>
      </w:r>
      <w:r>
        <w:t>omerčných subjektov zamerané na </w:t>
      </w:r>
      <w:r w:rsidRPr="00A507B5">
        <w:t>transparentnosť výberových konaní.</w:t>
      </w:r>
    </w:p>
    <w:p w:rsidR="00C742B4" w:rsidRPr="00A507B5" w:rsidRDefault="00C742B4" w:rsidP="00C742B4">
      <w:pPr>
        <w:pStyle w:val="Zkladntext"/>
        <w:jc w:val="both"/>
      </w:pPr>
    </w:p>
    <w:p w:rsidR="00C742B4" w:rsidRPr="00A507B5" w:rsidRDefault="00C742B4" w:rsidP="00C742B4">
      <w:pPr>
        <w:pStyle w:val="Zkladntext"/>
        <w:jc w:val="both"/>
      </w:pPr>
      <w:r w:rsidRPr="00A507B5">
        <w:t xml:space="preserve">V rámci realizácie postupovania pohľadávok z portfólia spoločnosti tretím subjektom boli pri projektoch VVK 2009 a VVK RP 2009 overené uzatvorené zmluvné dokumenty v nadväznosti na vyhlásené podmienky a výsledok súťaže vrátane kontroly splnenia dohodnutých povinností zmluvnými stranami. Pri verejných výberových konaniach na výber externého subjektu pre spracovanie analýzy postupovania pohľadávok z verejného sektora do SK, a. s. bol hodnotený celý priebeh konania v porovnaní so stanovenými pravidlami súťaže a s príslušným vnútorným predpisom spoločnosti s cieľom vyhodnotiť transparentnosť procesu a rovnosť podmienok pre všetkých uchádzačov. </w:t>
      </w:r>
    </w:p>
    <w:p w:rsidR="00C742B4" w:rsidRPr="00A507B5" w:rsidRDefault="00C742B4" w:rsidP="00C742B4">
      <w:pPr>
        <w:pStyle w:val="Zkladntext"/>
        <w:jc w:val="both"/>
      </w:pPr>
    </w:p>
    <w:p w:rsidR="00C742B4" w:rsidRPr="00A507B5" w:rsidRDefault="00C742B4" w:rsidP="00C742B4">
      <w:pPr>
        <w:pStyle w:val="Zkladntext"/>
        <w:jc w:val="both"/>
      </w:pPr>
      <w:r w:rsidRPr="00A507B5">
        <w:t xml:space="preserve">V oblasti prevádzkovej činnosti spoločnosti bolo preverené plnenie povinností SK, a.s. upravených zákonom č. 297/2008 </w:t>
      </w:r>
      <w:proofErr w:type="spellStart"/>
      <w:r w:rsidRPr="00A507B5">
        <w:t>Z.z</w:t>
      </w:r>
      <w:proofErr w:type="spellEnd"/>
      <w:r w:rsidRPr="00A507B5">
        <w:t>. v znení neskorších predpisov</w:t>
      </w:r>
      <w:r>
        <w:t xml:space="preserve"> a vyplývajúcich </w:t>
      </w:r>
      <w:r>
        <w:lastRenderedPageBreak/>
        <w:t>z </w:t>
      </w:r>
      <w:r w:rsidRPr="00A507B5">
        <w:t xml:space="preserve">Programu vlastnej činnosti zameraného proti legalizácii príjmov a financovania terorizmu rozpracovaného na podmienky SK, a. s. vo vnútornom predpise. </w:t>
      </w:r>
    </w:p>
    <w:p w:rsidR="00C742B4" w:rsidRPr="00A507B5" w:rsidRDefault="00C742B4" w:rsidP="00C742B4">
      <w:pPr>
        <w:pStyle w:val="Zkladntext"/>
        <w:jc w:val="both"/>
      </w:pPr>
    </w:p>
    <w:p w:rsidR="00C742B4" w:rsidRPr="00A507B5" w:rsidRDefault="00C742B4" w:rsidP="00C742B4">
      <w:pPr>
        <w:pStyle w:val="Zkladntext"/>
        <w:jc w:val="both"/>
      </w:pPr>
      <w:r w:rsidRPr="00A507B5">
        <w:t xml:space="preserve">Na ekonomickom úseku bolo predmetom kontroly dodržiavanie povinností SK, a. s. ako klienta Štátnej pokladnice v zmysle zákona č. 291/2002 </w:t>
      </w:r>
      <w:proofErr w:type="spellStart"/>
      <w:r w:rsidRPr="00A507B5">
        <w:t>Z.z</w:t>
      </w:r>
      <w:proofErr w:type="spellEnd"/>
      <w:r w:rsidRPr="00A507B5">
        <w:t>. v znení neskorších predpisov s cieľom preveriť postupy pri vedení</w:t>
      </w:r>
      <w:r>
        <w:t xml:space="preserve"> finančných prostriedkov SK, a.s. a realizácii jej </w:t>
      </w:r>
      <w:r w:rsidRPr="00A507B5">
        <w:t>platobného styku prostredníctvom Štátnej pokladnice.</w:t>
      </w:r>
    </w:p>
    <w:p w:rsidR="00C742B4" w:rsidRPr="00A507B5" w:rsidRDefault="00C742B4" w:rsidP="00C742B4">
      <w:pPr>
        <w:pStyle w:val="Zkladntext"/>
        <w:jc w:val="both"/>
      </w:pPr>
    </w:p>
    <w:p w:rsidR="00C742B4" w:rsidRPr="00A507B5" w:rsidRDefault="00C742B4" w:rsidP="00C742B4">
      <w:pPr>
        <w:ind w:right="-108"/>
        <w:jc w:val="both"/>
      </w:pPr>
      <w:r w:rsidRPr="00A507B5">
        <w:t>Výsledné správy o vykonaných kontrolách spolu s navrhovanými opatreniami na riešenie, resp. odstránenie zistených nedostatkov boli predložené predstavenstvu a dozornej rade. Na základe výsledkov kontrol na úseku obchodnej činnosti bolo o</w:t>
      </w:r>
      <w:r>
        <w:t>dporučené dopracovať systém pre </w:t>
      </w:r>
      <w:r w:rsidRPr="00A507B5">
        <w:t>jednotnú špecifikáciu konkrétnych dôvodov zastavenia exekúcií. Ďalšie opatrenie smerovalo do oblasti riadenia toku</w:t>
      </w:r>
      <w:r>
        <w:t xml:space="preserve"> finančných prostriedkov SK, a.</w:t>
      </w:r>
      <w:r w:rsidRPr="00A507B5">
        <w:t>s., kde bolo odporučené zaviesť automatizovaný systém ich prevodov z</w:t>
      </w:r>
      <w:r>
        <w:t>o zberných</w:t>
      </w:r>
      <w:r w:rsidRPr="00A507B5">
        <w:t xml:space="preserve"> účto</w:t>
      </w:r>
      <w:r>
        <w:t>v</w:t>
      </w:r>
      <w:r w:rsidRPr="00A507B5">
        <w:t xml:space="preserve"> v</w:t>
      </w:r>
      <w:r>
        <w:t>edených v komerčných bankách na </w:t>
      </w:r>
      <w:r w:rsidRPr="00A507B5">
        <w:t xml:space="preserve">účty zriadené v Štátnej pokladnici.  </w:t>
      </w:r>
    </w:p>
    <w:p w:rsidR="00C742B4" w:rsidRPr="00A507B5" w:rsidRDefault="00C742B4" w:rsidP="00C742B4">
      <w:pPr>
        <w:ind w:right="-108"/>
        <w:jc w:val="both"/>
      </w:pPr>
    </w:p>
    <w:p w:rsidR="00C742B4" w:rsidRPr="00A507B5" w:rsidRDefault="00C742B4" w:rsidP="00C742B4">
      <w:pPr>
        <w:jc w:val="both"/>
      </w:pPr>
      <w:r w:rsidRPr="00A507B5">
        <w:t>Dozorná rada, ako najvyšší kontrolný orgán spoločnosti, prerokovala výsledné materiály z vykonaných kontrol, pričom navrhnuté opatrenia smerujúce k skvalitneniu činnosti preverovaných úsekov potvrdila.</w:t>
      </w:r>
    </w:p>
    <w:p w:rsidR="00C742B4" w:rsidRPr="00A507B5" w:rsidRDefault="00C742B4" w:rsidP="00C742B4">
      <w:pPr>
        <w:jc w:val="both"/>
      </w:pPr>
    </w:p>
    <w:p w:rsidR="00C742B4" w:rsidRDefault="00C742B4" w:rsidP="00C742B4">
      <w:pPr>
        <w:pStyle w:val="Zkladntext"/>
        <w:jc w:val="both"/>
      </w:pPr>
      <w:r w:rsidRPr="00A507B5">
        <w:t>V rámci kontroly podnikateľskej činnosti a finančného hospodárenia spoločnosti dozorná rada prerokovala a odporučila valnému zhromaždeniu schváliť podnikateľský plán na rok 2010 a priebežne hodnotila jeho plnenie. Dozorná rada pred schválením valným zhromaždením, ktoré sa konalo dňa 17.6.2010, preskúmala riadnu individuálnu účtovnú závierku k 31.12.2009, návrh na rozdelenie zisku za rok 2009 a posú</w:t>
      </w:r>
      <w:r>
        <w:t>dila Výročnú správu SK, a.s. za </w:t>
      </w:r>
      <w:r w:rsidRPr="00A507B5">
        <w:t>rok 2009. Prerokovala a odporučila valnému zhromažd</w:t>
      </w:r>
      <w:r>
        <w:t>eniu schváliť návrh audítora na </w:t>
      </w:r>
      <w:r w:rsidRPr="00A507B5">
        <w:t>overenie účtovnej závierky SK, a.</w:t>
      </w:r>
      <w:r>
        <w:t>s. za rok 2009</w:t>
      </w:r>
      <w:r w:rsidRPr="00A507B5">
        <w:t xml:space="preserve">. </w:t>
      </w:r>
    </w:p>
    <w:p w:rsidR="00C742B4" w:rsidRPr="00A507B5" w:rsidRDefault="00C742B4" w:rsidP="00C742B4">
      <w:pPr>
        <w:pStyle w:val="Zkladntext"/>
        <w:jc w:val="both"/>
      </w:pPr>
    </w:p>
    <w:p w:rsidR="00C742B4" w:rsidRPr="00A507B5" w:rsidRDefault="00C742B4" w:rsidP="00C742B4">
      <w:pPr>
        <w:pStyle w:val="Zkladntext"/>
        <w:jc w:val="both"/>
      </w:pPr>
      <w:r w:rsidRPr="00A507B5">
        <w:t xml:space="preserve">Predmetom rokovaní dozornej rady boli pravidelné informácie predstavenstva o vymáhaní pohľadávok v portfóliu SK, a.s. a informácie o stave realizácie </w:t>
      </w:r>
      <w:r>
        <w:t>P</w:t>
      </w:r>
      <w:r w:rsidRPr="00A507B5">
        <w:t xml:space="preserve">rogramu poskytovania pomoci občanom, ktorí stratili schopnosť splácať úver na bývanie v dôsledku hospodárskej krízy. </w:t>
      </w:r>
    </w:p>
    <w:p w:rsidR="00C742B4" w:rsidRPr="00A507B5" w:rsidRDefault="00C742B4" w:rsidP="00C742B4">
      <w:pPr>
        <w:pStyle w:val="Zkladntext"/>
        <w:jc w:val="both"/>
      </w:pPr>
    </w:p>
    <w:p w:rsidR="00C742B4" w:rsidRPr="00A507B5" w:rsidRDefault="00C742B4" w:rsidP="00C742B4">
      <w:pPr>
        <w:pStyle w:val="Zkladntext"/>
        <w:jc w:val="both"/>
      </w:pPr>
      <w:r w:rsidRPr="00A507B5">
        <w:t>V oblasti pôsobnosti týkajúcej sa pravidiel obchodnej činnosti spoločnosti ako aj právomoci posúdenia významných finančných a iných obchodných transakcií dozorná rada schválila dodatky k vnútorným predpisom upravujúcim pracovné postupy, do ktorých bol zapracovaný systém elektronickej aukcie, a to k Smernici č. 90 Obstarávanie dodávok t</w:t>
      </w:r>
      <w:r>
        <w:t>ovarov, služieb a prác v SK, a.</w:t>
      </w:r>
      <w:r w:rsidRPr="00A507B5">
        <w:t>s. a k</w:t>
      </w:r>
      <w:r>
        <w:t>u Kompetenčnému poriadku SK, a.</w:t>
      </w:r>
      <w:r w:rsidRPr="00A507B5">
        <w:t xml:space="preserve">s. </w:t>
      </w:r>
    </w:p>
    <w:p w:rsidR="00C742B4" w:rsidRPr="00A507B5" w:rsidRDefault="00C742B4" w:rsidP="00C742B4">
      <w:pPr>
        <w:pStyle w:val="Zkladntext"/>
        <w:jc w:val="both"/>
      </w:pPr>
    </w:p>
    <w:p w:rsidR="00C742B4" w:rsidRPr="00A507B5" w:rsidRDefault="00C742B4" w:rsidP="00C742B4">
      <w:pPr>
        <w:pStyle w:val="Zkladntext"/>
        <w:jc w:val="both"/>
      </w:pPr>
      <w:r w:rsidRPr="00A507B5">
        <w:t>V súvislosti so situáciou u pohľadávok inštitúcií z okruhu verejných financií a problematikou riešenia týchto pohľadávok dozorná rada vzala na vedomie Stratégiu rozšíre</w:t>
      </w:r>
      <w:r>
        <w:t>nia činnosti spoločnosti SK, a.</w:t>
      </w:r>
      <w:r w:rsidRPr="00A507B5">
        <w:t>s. v oblasti správy pohľadávok verejného sektora. Zároveň konštatovala, že</w:t>
      </w:r>
      <w:r>
        <w:t> </w:t>
      </w:r>
      <w:r w:rsidRPr="00A507B5">
        <w:t>Stratégia predstavuje zámer do budúcnost</w:t>
      </w:r>
      <w:r>
        <w:t>i ako rozšíriť pôsobnosť SK, a.</w:t>
      </w:r>
      <w:r w:rsidRPr="00A507B5">
        <w:t>s. a zabezpečiť vyššiu efektivitu vymáhania pohľadávok verejnej správy a uložila predstavenstvu predmetný materiál predložiť akcionárovi.</w:t>
      </w:r>
    </w:p>
    <w:p w:rsidR="00C742B4" w:rsidRPr="00A507B5" w:rsidRDefault="00C742B4" w:rsidP="00C742B4">
      <w:pPr>
        <w:pStyle w:val="Zkladntext"/>
        <w:jc w:val="both"/>
      </w:pPr>
    </w:p>
    <w:p w:rsidR="00C742B4" w:rsidRPr="00A507B5" w:rsidRDefault="00C742B4" w:rsidP="00C742B4">
      <w:pPr>
        <w:pStyle w:val="Zkladntext"/>
        <w:jc w:val="both"/>
      </w:pPr>
      <w:r w:rsidRPr="00A507B5">
        <w:t>Na základe právnej analýzy navrhovaného spôsobu riešenia záložného práva SK, a.s. viaznuceho na majetku štátu v správe Bytovej agentúry rezortu ministerstva obrany dozorná rada schválila v zmysl</w:t>
      </w:r>
      <w:r>
        <w:t>e Kompetenčného poriadku SK, a.</w:t>
      </w:r>
      <w:r w:rsidRPr="00A507B5">
        <w:t>s. uzavretie</w:t>
      </w:r>
      <w:r>
        <w:t xml:space="preserve"> Dohody o urovnaní medzi SK, a.s. a uvedenou</w:t>
      </w:r>
      <w:r w:rsidRPr="00A507B5">
        <w:t xml:space="preserve"> agentúrou. </w:t>
      </w:r>
    </w:p>
    <w:p w:rsidR="00C742B4" w:rsidRDefault="00C742B4" w:rsidP="00C742B4">
      <w:pPr>
        <w:ind w:right="-108"/>
        <w:jc w:val="both"/>
        <w:rPr>
          <w:u w:val="single"/>
        </w:rPr>
      </w:pPr>
    </w:p>
    <w:p w:rsidR="00C742B4" w:rsidRDefault="00C742B4" w:rsidP="00C742B4">
      <w:pPr>
        <w:ind w:right="-108"/>
        <w:jc w:val="both"/>
        <w:rPr>
          <w:u w:val="single"/>
        </w:rPr>
      </w:pPr>
    </w:p>
    <w:p w:rsidR="00C742B4" w:rsidRPr="00A507B5" w:rsidRDefault="00C742B4" w:rsidP="00C742B4">
      <w:pPr>
        <w:ind w:right="-108"/>
        <w:jc w:val="both"/>
        <w:rPr>
          <w:u w:val="single"/>
        </w:rPr>
      </w:pPr>
    </w:p>
    <w:p w:rsidR="00C742B4" w:rsidRPr="00A507B5" w:rsidRDefault="00C742B4" w:rsidP="00C742B4">
      <w:pPr>
        <w:pStyle w:val="nzov1"/>
        <w:rPr>
          <w:color w:val="00B050"/>
        </w:rPr>
      </w:pPr>
      <w:bookmarkStart w:id="25" w:name="_Toc289692069"/>
      <w:r w:rsidRPr="00A507B5">
        <w:rPr>
          <w:color w:val="00B050"/>
        </w:rPr>
        <w:t>5. Zloženie orgánov spoločnosti</w:t>
      </w:r>
      <w:bookmarkEnd w:id="22"/>
      <w:bookmarkEnd w:id="23"/>
      <w:bookmarkEnd w:id="25"/>
    </w:p>
    <w:p w:rsidR="00C742B4" w:rsidRPr="00A507B5" w:rsidRDefault="00C742B4" w:rsidP="00C742B4">
      <w:pPr>
        <w:pStyle w:val="Zkladntext"/>
        <w:jc w:val="both"/>
      </w:pPr>
    </w:p>
    <w:p w:rsidR="00C742B4" w:rsidRPr="00A507B5" w:rsidRDefault="00C742B4" w:rsidP="00C742B4">
      <w:pPr>
        <w:pStyle w:val="Zkladntext"/>
        <w:jc w:val="both"/>
      </w:pPr>
      <w:r w:rsidRPr="00A507B5">
        <w:t xml:space="preserve">Najvyšším orgánom spoločnosti je </w:t>
      </w:r>
      <w:r w:rsidRPr="00A507B5">
        <w:rPr>
          <w:b/>
          <w:bCs/>
          <w:color w:val="339966"/>
        </w:rPr>
        <w:t>valné zhromaždenie</w:t>
      </w:r>
      <w:r w:rsidRPr="00A507B5">
        <w:t>. Jediným akcionárom je Ministerstvo financií Slovenskej republiky.</w:t>
      </w:r>
    </w:p>
    <w:p w:rsidR="00C742B4" w:rsidRPr="00A507B5" w:rsidRDefault="00C742B4" w:rsidP="00C742B4">
      <w:pPr>
        <w:pStyle w:val="Zkladntext"/>
        <w:jc w:val="both"/>
        <w:rPr>
          <w:lang w:val="cs-CZ"/>
        </w:rPr>
      </w:pPr>
    </w:p>
    <w:p w:rsidR="00C742B4" w:rsidRPr="00A507B5" w:rsidRDefault="00C742B4" w:rsidP="00C742B4">
      <w:pPr>
        <w:pStyle w:val="Zkladntext"/>
        <w:jc w:val="both"/>
        <w:rPr>
          <w:b/>
          <w:bCs/>
          <w:color w:val="339966"/>
          <w:lang w:val="cs-CZ"/>
        </w:rPr>
      </w:pPr>
      <w:r w:rsidRPr="00A507B5">
        <w:rPr>
          <w:lang w:val="cs-CZ"/>
        </w:rPr>
        <w:t xml:space="preserve">Rozhodnutím jediného </w:t>
      </w:r>
      <w:proofErr w:type="spellStart"/>
      <w:r w:rsidRPr="00A507B5">
        <w:rPr>
          <w:lang w:val="cs-CZ"/>
        </w:rPr>
        <w:t>akcionára</w:t>
      </w:r>
      <w:proofErr w:type="spellEnd"/>
      <w:r w:rsidRPr="00A507B5">
        <w:rPr>
          <w:lang w:val="cs-CZ"/>
        </w:rPr>
        <w:t xml:space="preserve"> </w:t>
      </w:r>
      <w:proofErr w:type="spellStart"/>
      <w:r w:rsidRPr="00A507B5">
        <w:rPr>
          <w:lang w:val="cs-CZ"/>
        </w:rPr>
        <w:t>prijatého</w:t>
      </w:r>
      <w:proofErr w:type="spellEnd"/>
      <w:r w:rsidRPr="00A507B5">
        <w:rPr>
          <w:lang w:val="cs-CZ"/>
        </w:rPr>
        <w:t xml:space="preserve"> v </w:t>
      </w:r>
      <w:proofErr w:type="spellStart"/>
      <w:r w:rsidRPr="00A507B5">
        <w:rPr>
          <w:lang w:val="cs-CZ"/>
        </w:rPr>
        <w:t>pôsobnost</w:t>
      </w:r>
      <w:r>
        <w:rPr>
          <w:lang w:val="cs-CZ"/>
        </w:rPr>
        <w:t>i</w:t>
      </w:r>
      <w:proofErr w:type="spellEnd"/>
      <w:r>
        <w:rPr>
          <w:lang w:val="cs-CZ"/>
        </w:rPr>
        <w:t xml:space="preserve"> valného </w:t>
      </w:r>
      <w:proofErr w:type="spellStart"/>
      <w:r>
        <w:rPr>
          <w:lang w:val="cs-CZ"/>
        </w:rPr>
        <w:t>zhromaždenia</w:t>
      </w:r>
      <w:proofErr w:type="spellEnd"/>
      <w:r>
        <w:rPr>
          <w:lang w:val="cs-CZ"/>
        </w:rPr>
        <w:t xml:space="preserve"> </w:t>
      </w:r>
      <w:proofErr w:type="spellStart"/>
      <w:r>
        <w:rPr>
          <w:lang w:val="cs-CZ"/>
        </w:rPr>
        <w:t>boli</w:t>
      </w:r>
      <w:proofErr w:type="spellEnd"/>
      <w:r>
        <w:rPr>
          <w:lang w:val="cs-CZ"/>
        </w:rPr>
        <w:t xml:space="preserve"> </w:t>
      </w:r>
      <w:proofErr w:type="spellStart"/>
      <w:r>
        <w:rPr>
          <w:lang w:val="cs-CZ"/>
        </w:rPr>
        <w:t>dňa</w:t>
      </w:r>
      <w:proofErr w:type="spellEnd"/>
      <w:r>
        <w:rPr>
          <w:lang w:val="cs-CZ"/>
        </w:rPr>
        <w:t> </w:t>
      </w:r>
      <w:proofErr w:type="gramStart"/>
      <w:r w:rsidRPr="00A507B5">
        <w:rPr>
          <w:lang w:val="cs-CZ"/>
        </w:rPr>
        <w:t>14.7.2010</w:t>
      </w:r>
      <w:proofErr w:type="gramEnd"/>
      <w:r w:rsidRPr="00A507B5">
        <w:rPr>
          <w:lang w:val="cs-CZ"/>
        </w:rPr>
        <w:t xml:space="preserve"> odvolaní </w:t>
      </w:r>
      <w:proofErr w:type="spellStart"/>
      <w:r w:rsidRPr="00A507B5">
        <w:rPr>
          <w:b/>
          <w:bCs/>
          <w:color w:val="339966"/>
          <w:lang w:val="cs-CZ"/>
        </w:rPr>
        <w:t>členovia</w:t>
      </w:r>
      <w:proofErr w:type="spellEnd"/>
      <w:r w:rsidRPr="00A507B5">
        <w:rPr>
          <w:b/>
          <w:bCs/>
          <w:color w:val="339966"/>
          <w:lang w:val="cs-CZ"/>
        </w:rPr>
        <w:t xml:space="preserve"> </w:t>
      </w:r>
      <w:proofErr w:type="spellStart"/>
      <w:r w:rsidRPr="00A507B5">
        <w:rPr>
          <w:b/>
          <w:bCs/>
          <w:color w:val="339966"/>
          <w:lang w:val="cs-CZ"/>
        </w:rPr>
        <w:t>predstavenstva</w:t>
      </w:r>
      <w:proofErr w:type="spellEnd"/>
      <w:r w:rsidRPr="00A507B5">
        <w:rPr>
          <w:b/>
          <w:bCs/>
          <w:color w:val="339966"/>
          <w:lang w:val="cs-CZ"/>
        </w:rPr>
        <w:t>:</w:t>
      </w:r>
    </w:p>
    <w:p w:rsidR="00C742B4" w:rsidRPr="00A507B5" w:rsidRDefault="00C742B4" w:rsidP="00C742B4">
      <w:pPr>
        <w:pStyle w:val="Zkladntext"/>
        <w:jc w:val="both"/>
        <w:rPr>
          <w:b/>
          <w:bCs/>
          <w:color w:val="339966"/>
          <w:lang w:val="cs-CZ"/>
        </w:rPr>
      </w:pPr>
    </w:p>
    <w:p w:rsidR="00C742B4" w:rsidRPr="00A507B5" w:rsidRDefault="00C742B4" w:rsidP="00C742B4">
      <w:pPr>
        <w:numPr>
          <w:ilvl w:val="0"/>
          <w:numId w:val="1"/>
        </w:numPr>
        <w:tabs>
          <w:tab w:val="clear" w:pos="720"/>
          <w:tab w:val="num" w:pos="0"/>
        </w:tabs>
        <w:ind w:left="0" w:firstLine="0"/>
        <w:jc w:val="both"/>
      </w:pPr>
      <w:r w:rsidRPr="00A507B5">
        <w:t xml:space="preserve">podpredseda - JUDr. Roman </w:t>
      </w:r>
      <w:proofErr w:type="spellStart"/>
      <w:r w:rsidRPr="00A507B5">
        <w:t>Ožvold</w:t>
      </w:r>
      <w:proofErr w:type="spellEnd"/>
    </w:p>
    <w:p w:rsidR="00C742B4" w:rsidRPr="00A507B5" w:rsidRDefault="00C742B4" w:rsidP="00C742B4">
      <w:pPr>
        <w:numPr>
          <w:ilvl w:val="0"/>
          <w:numId w:val="1"/>
        </w:numPr>
        <w:tabs>
          <w:tab w:val="clear" w:pos="720"/>
          <w:tab w:val="num" w:pos="0"/>
        </w:tabs>
        <w:ind w:left="0" w:firstLine="0"/>
        <w:jc w:val="both"/>
      </w:pPr>
      <w:r w:rsidRPr="00A507B5">
        <w:t xml:space="preserve">člen - JUDr. Maroš </w:t>
      </w:r>
      <w:proofErr w:type="spellStart"/>
      <w:r w:rsidRPr="00A507B5">
        <w:t>Karšňák</w:t>
      </w:r>
      <w:proofErr w:type="spellEnd"/>
    </w:p>
    <w:p w:rsidR="00C742B4" w:rsidRPr="00A507B5" w:rsidRDefault="00C742B4" w:rsidP="00C742B4">
      <w:pPr>
        <w:jc w:val="both"/>
      </w:pPr>
    </w:p>
    <w:p w:rsidR="00C742B4" w:rsidRPr="00A507B5" w:rsidRDefault="00C742B4" w:rsidP="00C742B4">
      <w:pPr>
        <w:pStyle w:val="Zkladntext"/>
        <w:jc w:val="both"/>
        <w:rPr>
          <w:b/>
          <w:bCs/>
          <w:color w:val="339966"/>
          <w:lang w:val="cs-CZ"/>
        </w:rPr>
      </w:pPr>
      <w:r w:rsidRPr="00A507B5">
        <w:rPr>
          <w:lang w:val="cs-CZ"/>
        </w:rPr>
        <w:t xml:space="preserve">Rozhodnutím jediného </w:t>
      </w:r>
      <w:proofErr w:type="spellStart"/>
      <w:r w:rsidRPr="00A507B5">
        <w:rPr>
          <w:lang w:val="cs-CZ"/>
        </w:rPr>
        <w:t>akcionára</w:t>
      </w:r>
      <w:proofErr w:type="spellEnd"/>
      <w:r w:rsidRPr="00A507B5">
        <w:rPr>
          <w:lang w:val="cs-CZ"/>
        </w:rPr>
        <w:t xml:space="preserve"> </w:t>
      </w:r>
      <w:proofErr w:type="spellStart"/>
      <w:r w:rsidRPr="00A507B5">
        <w:rPr>
          <w:lang w:val="cs-CZ"/>
        </w:rPr>
        <w:t>prijatého</w:t>
      </w:r>
      <w:proofErr w:type="spellEnd"/>
      <w:r w:rsidRPr="00A507B5">
        <w:rPr>
          <w:lang w:val="cs-CZ"/>
        </w:rPr>
        <w:t xml:space="preserve"> v </w:t>
      </w:r>
      <w:proofErr w:type="spellStart"/>
      <w:r w:rsidRPr="00A507B5">
        <w:rPr>
          <w:lang w:val="cs-CZ"/>
        </w:rPr>
        <w:t>pôsobnos</w:t>
      </w:r>
      <w:r>
        <w:rPr>
          <w:lang w:val="cs-CZ"/>
        </w:rPr>
        <w:t>ti</w:t>
      </w:r>
      <w:proofErr w:type="spellEnd"/>
      <w:r>
        <w:rPr>
          <w:lang w:val="cs-CZ"/>
        </w:rPr>
        <w:t xml:space="preserve"> valného </w:t>
      </w:r>
      <w:proofErr w:type="spellStart"/>
      <w:r>
        <w:rPr>
          <w:lang w:val="cs-CZ"/>
        </w:rPr>
        <w:t>zhromaždenia</w:t>
      </w:r>
      <w:proofErr w:type="spellEnd"/>
      <w:r>
        <w:rPr>
          <w:lang w:val="cs-CZ"/>
        </w:rPr>
        <w:t xml:space="preserve"> bol </w:t>
      </w:r>
      <w:proofErr w:type="spellStart"/>
      <w:r>
        <w:rPr>
          <w:lang w:val="cs-CZ"/>
        </w:rPr>
        <w:t>dňa</w:t>
      </w:r>
      <w:proofErr w:type="spellEnd"/>
      <w:r>
        <w:rPr>
          <w:lang w:val="cs-CZ"/>
        </w:rPr>
        <w:t> </w:t>
      </w:r>
      <w:proofErr w:type="gramStart"/>
      <w:r w:rsidRPr="00A507B5">
        <w:rPr>
          <w:lang w:val="cs-CZ"/>
        </w:rPr>
        <w:t>19.7.2010</w:t>
      </w:r>
      <w:proofErr w:type="gramEnd"/>
      <w:r w:rsidRPr="00A507B5">
        <w:rPr>
          <w:lang w:val="cs-CZ"/>
        </w:rPr>
        <w:t xml:space="preserve"> zvolený </w:t>
      </w:r>
      <w:r w:rsidRPr="00A507B5">
        <w:rPr>
          <w:b/>
          <w:bCs/>
          <w:color w:val="339966"/>
          <w:lang w:val="cs-CZ"/>
        </w:rPr>
        <w:t xml:space="preserve">člen </w:t>
      </w:r>
      <w:proofErr w:type="spellStart"/>
      <w:r w:rsidRPr="00A507B5">
        <w:rPr>
          <w:b/>
          <w:bCs/>
          <w:color w:val="339966"/>
          <w:lang w:val="cs-CZ"/>
        </w:rPr>
        <w:t>predstavenstva</w:t>
      </w:r>
      <w:proofErr w:type="spellEnd"/>
      <w:r w:rsidRPr="00A507B5">
        <w:rPr>
          <w:b/>
          <w:bCs/>
          <w:color w:val="339966"/>
          <w:lang w:val="cs-CZ"/>
        </w:rPr>
        <w:t xml:space="preserve"> </w:t>
      </w:r>
      <w:r w:rsidRPr="00A507B5">
        <w:rPr>
          <w:rStyle w:val="Zvraznn"/>
        </w:rPr>
        <w:t xml:space="preserve">Ing. </w:t>
      </w:r>
      <w:proofErr w:type="spellStart"/>
      <w:r w:rsidRPr="00A507B5">
        <w:rPr>
          <w:rStyle w:val="Zvraznn"/>
        </w:rPr>
        <w:t>Günther</w:t>
      </w:r>
      <w:proofErr w:type="spellEnd"/>
      <w:r w:rsidRPr="00A507B5">
        <w:rPr>
          <w:rStyle w:val="Zvraznn"/>
        </w:rPr>
        <w:t xml:space="preserve"> </w:t>
      </w:r>
      <w:proofErr w:type="spellStart"/>
      <w:r w:rsidRPr="00A507B5">
        <w:rPr>
          <w:rStyle w:val="Zvraznn"/>
        </w:rPr>
        <w:t>Furin</w:t>
      </w:r>
      <w:proofErr w:type="spellEnd"/>
      <w:r w:rsidRPr="00A507B5">
        <w:rPr>
          <w:rStyle w:val="Zvraznn"/>
        </w:rPr>
        <w:t>.</w:t>
      </w:r>
    </w:p>
    <w:p w:rsidR="00C742B4" w:rsidRPr="00A507B5" w:rsidRDefault="00C742B4" w:rsidP="00C742B4">
      <w:pPr>
        <w:jc w:val="both"/>
      </w:pPr>
    </w:p>
    <w:p w:rsidR="00C742B4" w:rsidRPr="00A507B5" w:rsidRDefault="00C742B4" w:rsidP="00C742B4">
      <w:pPr>
        <w:pStyle w:val="Zkladntext"/>
        <w:jc w:val="both"/>
        <w:rPr>
          <w:b/>
          <w:bCs/>
          <w:color w:val="339966"/>
          <w:lang w:val="cs-CZ"/>
        </w:rPr>
      </w:pPr>
      <w:r w:rsidRPr="00A507B5">
        <w:rPr>
          <w:lang w:val="cs-CZ"/>
        </w:rPr>
        <w:t xml:space="preserve">Rozhodnutím jediného </w:t>
      </w:r>
      <w:proofErr w:type="spellStart"/>
      <w:r w:rsidRPr="00A507B5">
        <w:rPr>
          <w:lang w:val="cs-CZ"/>
        </w:rPr>
        <w:t>akcionára</w:t>
      </w:r>
      <w:proofErr w:type="spellEnd"/>
      <w:r w:rsidRPr="00A507B5">
        <w:rPr>
          <w:lang w:val="cs-CZ"/>
        </w:rPr>
        <w:t xml:space="preserve"> </w:t>
      </w:r>
      <w:proofErr w:type="spellStart"/>
      <w:r w:rsidRPr="00A507B5">
        <w:rPr>
          <w:lang w:val="cs-CZ"/>
        </w:rPr>
        <w:t>prijatého</w:t>
      </w:r>
      <w:proofErr w:type="spellEnd"/>
      <w:r w:rsidRPr="00A507B5">
        <w:rPr>
          <w:lang w:val="cs-CZ"/>
        </w:rPr>
        <w:t xml:space="preserve"> v </w:t>
      </w:r>
      <w:proofErr w:type="spellStart"/>
      <w:r w:rsidRPr="00A507B5">
        <w:rPr>
          <w:lang w:val="cs-CZ"/>
        </w:rPr>
        <w:t>pôsobnosti</w:t>
      </w:r>
      <w:proofErr w:type="spellEnd"/>
      <w:r w:rsidRPr="00A507B5">
        <w:rPr>
          <w:lang w:val="cs-CZ"/>
        </w:rPr>
        <w:t xml:space="preserve"> valného </w:t>
      </w:r>
      <w:proofErr w:type="spellStart"/>
      <w:r w:rsidRPr="00A507B5">
        <w:rPr>
          <w:lang w:val="cs-CZ"/>
        </w:rPr>
        <w:t>zhromaž</w:t>
      </w:r>
      <w:r>
        <w:rPr>
          <w:lang w:val="cs-CZ"/>
        </w:rPr>
        <w:t>denia</w:t>
      </w:r>
      <w:proofErr w:type="spellEnd"/>
      <w:r>
        <w:rPr>
          <w:lang w:val="cs-CZ"/>
        </w:rPr>
        <w:t xml:space="preserve"> </w:t>
      </w:r>
      <w:proofErr w:type="spellStart"/>
      <w:r>
        <w:rPr>
          <w:lang w:val="cs-CZ"/>
        </w:rPr>
        <w:t>boli</w:t>
      </w:r>
      <w:proofErr w:type="spellEnd"/>
      <w:r>
        <w:rPr>
          <w:lang w:val="cs-CZ"/>
        </w:rPr>
        <w:t xml:space="preserve"> </w:t>
      </w:r>
      <w:proofErr w:type="spellStart"/>
      <w:r>
        <w:rPr>
          <w:lang w:val="cs-CZ"/>
        </w:rPr>
        <w:t>dňa</w:t>
      </w:r>
      <w:proofErr w:type="spellEnd"/>
      <w:r>
        <w:rPr>
          <w:lang w:val="cs-CZ"/>
        </w:rPr>
        <w:t> </w:t>
      </w:r>
      <w:proofErr w:type="gramStart"/>
      <w:r w:rsidRPr="00A507B5">
        <w:rPr>
          <w:lang w:val="cs-CZ"/>
        </w:rPr>
        <w:t>13.9.2010</w:t>
      </w:r>
      <w:proofErr w:type="gramEnd"/>
      <w:r w:rsidRPr="00A507B5">
        <w:rPr>
          <w:lang w:val="cs-CZ"/>
        </w:rPr>
        <w:t xml:space="preserve"> odvolaní </w:t>
      </w:r>
      <w:proofErr w:type="spellStart"/>
      <w:r w:rsidRPr="00A507B5">
        <w:rPr>
          <w:lang w:val="cs-CZ"/>
        </w:rPr>
        <w:t>predseda</w:t>
      </w:r>
      <w:proofErr w:type="spellEnd"/>
      <w:r w:rsidRPr="00A507B5">
        <w:rPr>
          <w:lang w:val="cs-CZ"/>
        </w:rPr>
        <w:t xml:space="preserve"> </w:t>
      </w:r>
      <w:proofErr w:type="spellStart"/>
      <w:r w:rsidRPr="00A507B5">
        <w:rPr>
          <w:lang w:val="cs-CZ"/>
        </w:rPr>
        <w:t>predstavenstva</w:t>
      </w:r>
      <w:proofErr w:type="spellEnd"/>
      <w:r w:rsidRPr="00A507B5">
        <w:rPr>
          <w:lang w:val="cs-CZ"/>
        </w:rPr>
        <w:t xml:space="preserve"> </w:t>
      </w:r>
      <w:r w:rsidRPr="00A507B5">
        <w:t>Mgr. Alexander Sako</w:t>
      </w:r>
      <w:r w:rsidRPr="00A507B5">
        <w:rPr>
          <w:lang w:val="cs-CZ"/>
        </w:rPr>
        <w:t xml:space="preserve"> a člen </w:t>
      </w:r>
      <w:proofErr w:type="spellStart"/>
      <w:r w:rsidRPr="00A507B5">
        <w:rPr>
          <w:lang w:val="cs-CZ"/>
        </w:rPr>
        <w:t>predstavenstva</w:t>
      </w:r>
      <w:proofErr w:type="spellEnd"/>
      <w:r w:rsidRPr="00A507B5">
        <w:rPr>
          <w:lang w:val="cs-CZ"/>
        </w:rPr>
        <w:t xml:space="preserve"> </w:t>
      </w:r>
      <w:r w:rsidRPr="00A507B5">
        <w:rPr>
          <w:rStyle w:val="Zvraznn"/>
        </w:rPr>
        <w:t>Ing. </w:t>
      </w:r>
      <w:proofErr w:type="spellStart"/>
      <w:r w:rsidRPr="00A507B5">
        <w:rPr>
          <w:rStyle w:val="Zvraznn"/>
        </w:rPr>
        <w:t>Günther</w:t>
      </w:r>
      <w:proofErr w:type="spellEnd"/>
      <w:r w:rsidRPr="00A507B5">
        <w:rPr>
          <w:rStyle w:val="Zvraznn"/>
        </w:rPr>
        <w:t xml:space="preserve"> </w:t>
      </w:r>
      <w:proofErr w:type="spellStart"/>
      <w:r w:rsidRPr="00A507B5">
        <w:rPr>
          <w:rStyle w:val="Zvraznn"/>
        </w:rPr>
        <w:t>Furin</w:t>
      </w:r>
      <w:proofErr w:type="spellEnd"/>
      <w:r w:rsidRPr="00A507B5">
        <w:rPr>
          <w:lang w:val="cs-CZ"/>
        </w:rPr>
        <w:t xml:space="preserve"> a zvolení </w:t>
      </w:r>
      <w:r w:rsidRPr="00A507B5">
        <w:rPr>
          <w:b/>
          <w:bCs/>
          <w:color w:val="339966"/>
          <w:lang w:val="cs-CZ"/>
        </w:rPr>
        <w:t xml:space="preserve">noví </w:t>
      </w:r>
      <w:proofErr w:type="spellStart"/>
      <w:r w:rsidRPr="00A507B5">
        <w:rPr>
          <w:b/>
          <w:bCs/>
          <w:color w:val="339966"/>
          <w:lang w:val="cs-CZ"/>
        </w:rPr>
        <w:t>členovia</w:t>
      </w:r>
      <w:proofErr w:type="spellEnd"/>
      <w:r w:rsidRPr="00A507B5">
        <w:rPr>
          <w:b/>
          <w:bCs/>
          <w:color w:val="339966"/>
          <w:lang w:val="cs-CZ"/>
        </w:rPr>
        <w:t xml:space="preserve"> </w:t>
      </w:r>
      <w:proofErr w:type="spellStart"/>
      <w:r w:rsidRPr="00A507B5">
        <w:rPr>
          <w:b/>
          <w:bCs/>
          <w:color w:val="339966"/>
          <w:lang w:val="cs-CZ"/>
        </w:rPr>
        <w:t>predstavenstva</w:t>
      </w:r>
      <w:proofErr w:type="spellEnd"/>
      <w:r w:rsidRPr="00A507B5">
        <w:rPr>
          <w:b/>
          <w:bCs/>
          <w:color w:val="339966"/>
          <w:lang w:val="cs-CZ"/>
        </w:rPr>
        <w:t>:</w:t>
      </w:r>
    </w:p>
    <w:p w:rsidR="00C742B4" w:rsidRPr="00A507B5" w:rsidRDefault="00C742B4" w:rsidP="00C742B4">
      <w:pPr>
        <w:jc w:val="both"/>
        <w:rPr>
          <w:b/>
          <w:bCs/>
          <w:color w:val="333399"/>
        </w:rPr>
      </w:pPr>
    </w:p>
    <w:p w:rsidR="00C742B4" w:rsidRPr="00A507B5" w:rsidRDefault="00C742B4" w:rsidP="00C742B4">
      <w:pPr>
        <w:numPr>
          <w:ilvl w:val="0"/>
          <w:numId w:val="1"/>
        </w:numPr>
        <w:tabs>
          <w:tab w:val="clear" w:pos="720"/>
          <w:tab w:val="num" w:pos="0"/>
        </w:tabs>
        <w:ind w:left="0" w:firstLine="0"/>
        <w:jc w:val="both"/>
      </w:pPr>
      <w:r w:rsidRPr="00A507B5">
        <w:t>predseda - JUDr. Pavol Sabol</w:t>
      </w:r>
    </w:p>
    <w:p w:rsidR="00C742B4" w:rsidRPr="00A507B5" w:rsidRDefault="00C742B4" w:rsidP="00C742B4">
      <w:pPr>
        <w:numPr>
          <w:ilvl w:val="0"/>
          <w:numId w:val="1"/>
        </w:numPr>
        <w:tabs>
          <w:tab w:val="clear" w:pos="720"/>
          <w:tab w:val="num" w:pos="0"/>
        </w:tabs>
        <w:ind w:left="0" w:firstLine="0"/>
        <w:jc w:val="both"/>
      </w:pPr>
      <w:r w:rsidRPr="00A507B5">
        <w:t xml:space="preserve">podpredseda - JUDr. Peter </w:t>
      </w:r>
      <w:proofErr w:type="spellStart"/>
      <w:r w:rsidRPr="00A507B5">
        <w:t>Miššík</w:t>
      </w:r>
      <w:proofErr w:type="spellEnd"/>
      <w:r w:rsidRPr="00A507B5">
        <w:t xml:space="preserve">  </w:t>
      </w:r>
    </w:p>
    <w:p w:rsidR="00C742B4" w:rsidRPr="00A507B5" w:rsidRDefault="00C742B4" w:rsidP="00C742B4">
      <w:pPr>
        <w:numPr>
          <w:ilvl w:val="0"/>
          <w:numId w:val="1"/>
        </w:numPr>
        <w:tabs>
          <w:tab w:val="clear" w:pos="720"/>
          <w:tab w:val="num" w:pos="0"/>
        </w:tabs>
        <w:ind w:left="0" w:firstLine="0"/>
        <w:jc w:val="both"/>
      </w:pPr>
      <w:r w:rsidRPr="00A507B5">
        <w:t xml:space="preserve">člen - </w:t>
      </w:r>
      <w:proofErr w:type="spellStart"/>
      <w:r w:rsidRPr="00A507B5">
        <w:t>JUDr.Tomáš</w:t>
      </w:r>
      <w:proofErr w:type="spellEnd"/>
      <w:r w:rsidRPr="00A507B5">
        <w:t xml:space="preserve"> </w:t>
      </w:r>
      <w:proofErr w:type="spellStart"/>
      <w:r w:rsidRPr="00A507B5">
        <w:t>Vranovič</w:t>
      </w:r>
      <w:proofErr w:type="spellEnd"/>
      <w:r w:rsidRPr="00A507B5">
        <w:t xml:space="preserve"> </w:t>
      </w:r>
    </w:p>
    <w:p w:rsidR="00C742B4" w:rsidRPr="00A507B5" w:rsidRDefault="00C742B4" w:rsidP="00C742B4">
      <w:pPr>
        <w:jc w:val="both"/>
      </w:pPr>
    </w:p>
    <w:tbl>
      <w:tblPr>
        <w:tblW w:w="1658" w:type="pct"/>
        <w:tblCellSpacing w:w="15" w:type="dxa"/>
        <w:tblCellMar>
          <w:top w:w="15" w:type="dxa"/>
          <w:left w:w="15" w:type="dxa"/>
          <w:bottom w:w="15" w:type="dxa"/>
          <w:right w:w="15" w:type="dxa"/>
        </w:tblCellMar>
        <w:tblLook w:val="04A0"/>
      </w:tblPr>
      <w:tblGrid>
        <w:gridCol w:w="3038"/>
      </w:tblGrid>
      <w:tr w:rsidR="00C742B4" w:rsidRPr="00A507B5" w:rsidTr="00F74015">
        <w:trPr>
          <w:tblCellSpacing w:w="15" w:type="dxa"/>
        </w:trPr>
        <w:tc>
          <w:tcPr>
            <w:tcW w:w="4901" w:type="pct"/>
            <w:hideMark/>
          </w:tcPr>
          <w:p w:rsidR="00C742B4" w:rsidRPr="00A507B5" w:rsidRDefault="00C742B4" w:rsidP="00F74015">
            <w:pPr>
              <w:jc w:val="both"/>
              <w:rPr>
                <w:color w:val="000000"/>
                <w:lang w:eastAsia="sk-SK"/>
              </w:rPr>
            </w:pPr>
            <w:r w:rsidRPr="00A507B5">
              <w:rPr>
                <w:b/>
                <w:bCs/>
                <w:color w:val="00B050"/>
              </w:rPr>
              <w:t>Členovia</w:t>
            </w:r>
            <w:r w:rsidRPr="00A507B5">
              <w:rPr>
                <w:color w:val="00B050"/>
              </w:rPr>
              <w:t xml:space="preserve"> </w:t>
            </w:r>
            <w:r w:rsidRPr="00A507B5">
              <w:rPr>
                <w:b/>
                <w:bCs/>
                <w:color w:val="00B050"/>
              </w:rPr>
              <w:t>dozornej rady:</w:t>
            </w:r>
          </w:p>
        </w:tc>
      </w:tr>
      <w:tr w:rsidR="00C742B4" w:rsidRPr="00A507B5" w:rsidTr="00F74015">
        <w:trPr>
          <w:tblCellSpacing w:w="15" w:type="dxa"/>
        </w:trPr>
        <w:tc>
          <w:tcPr>
            <w:tcW w:w="4901" w:type="pct"/>
            <w:hideMark/>
          </w:tcPr>
          <w:p w:rsidR="00C742B4" w:rsidRPr="00A507B5" w:rsidRDefault="00C742B4" w:rsidP="00F74015">
            <w:pPr>
              <w:jc w:val="both"/>
            </w:pPr>
          </w:p>
        </w:tc>
      </w:tr>
    </w:tbl>
    <w:p w:rsidR="00C742B4" w:rsidRPr="00A507B5" w:rsidRDefault="00C742B4" w:rsidP="00C742B4">
      <w:pPr>
        <w:numPr>
          <w:ilvl w:val="0"/>
          <w:numId w:val="3"/>
        </w:numPr>
        <w:ind w:left="0" w:firstLine="0"/>
        <w:jc w:val="both"/>
      </w:pPr>
      <w:r w:rsidRPr="00A507B5">
        <w:t xml:space="preserve">Ing. Vladimír </w:t>
      </w:r>
      <w:proofErr w:type="spellStart"/>
      <w:r w:rsidRPr="00A507B5">
        <w:t>Dvořáček</w:t>
      </w:r>
      <w:proofErr w:type="spellEnd"/>
      <w:r w:rsidRPr="00A507B5">
        <w:t xml:space="preserve"> – predseda DR od 14. 11.2006 - 30.6. 2010</w:t>
      </w:r>
    </w:p>
    <w:p w:rsidR="00C742B4" w:rsidRPr="00A507B5" w:rsidRDefault="00C742B4" w:rsidP="00C742B4">
      <w:pPr>
        <w:numPr>
          <w:ilvl w:val="0"/>
          <w:numId w:val="3"/>
        </w:numPr>
        <w:ind w:left="0" w:firstLine="0"/>
        <w:jc w:val="both"/>
      </w:pPr>
      <w:r w:rsidRPr="00A507B5">
        <w:t xml:space="preserve">Ing. Marián </w:t>
      </w:r>
      <w:proofErr w:type="spellStart"/>
      <w:r w:rsidRPr="00A507B5">
        <w:t>Podolák</w:t>
      </w:r>
      <w:proofErr w:type="spellEnd"/>
      <w:r w:rsidRPr="00A507B5">
        <w:t xml:space="preserve"> – od 14.11.2006 - 24.1.2011</w:t>
      </w:r>
    </w:p>
    <w:p w:rsidR="00C742B4" w:rsidRPr="00A507B5" w:rsidRDefault="00C742B4" w:rsidP="00C742B4">
      <w:pPr>
        <w:numPr>
          <w:ilvl w:val="0"/>
          <w:numId w:val="3"/>
        </w:numPr>
        <w:ind w:left="0" w:firstLine="0"/>
        <w:jc w:val="both"/>
      </w:pPr>
      <w:r w:rsidRPr="00A507B5">
        <w:t>Ing. Daniela Klučková – od 31.3.2008 - 24.1.2011</w:t>
      </w:r>
    </w:p>
    <w:p w:rsidR="00C742B4" w:rsidRPr="00A507B5" w:rsidRDefault="00C742B4" w:rsidP="00C742B4">
      <w:pPr>
        <w:numPr>
          <w:ilvl w:val="0"/>
          <w:numId w:val="3"/>
        </w:numPr>
        <w:ind w:left="0" w:firstLine="0"/>
        <w:jc w:val="both"/>
      </w:pPr>
      <w:r w:rsidRPr="00A507B5">
        <w:t xml:space="preserve">Ing. Mgr. </w:t>
      </w:r>
      <w:hyperlink r:id="rId18" w:history="1">
        <w:r w:rsidRPr="00A507B5">
          <w:t xml:space="preserve">Martin </w:t>
        </w:r>
        <w:proofErr w:type="spellStart"/>
        <w:r w:rsidRPr="00A507B5">
          <w:t>Filko</w:t>
        </w:r>
        <w:proofErr w:type="spellEnd"/>
        <w:r w:rsidRPr="00A507B5">
          <w:t xml:space="preserve"> </w:t>
        </w:r>
      </w:hyperlink>
      <w:proofErr w:type="spellStart"/>
      <w:r w:rsidRPr="00A507B5">
        <w:t>MCs</w:t>
      </w:r>
      <w:proofErr w:type="spellEnd"/>
      <w:r w:rsidRPr="00A507B5">
        <w:t xml:space="preserve"> – od 6.9.2009 - 14.7.2010</w:t>
      </w:r>
    </w:p>
    <w:p w:rsidR="00C742B4" w:rsidRPr="00A507B5" w:rsidRDefault="00C742B4" w:rsidP="00C742B4">
      <w:pPr>
        <w:numPr>
          <w:ilvl w:val="0"/>
          <w:numId w:val="3"/>
        </w:numPr>
        <w:ind w:left="0" w:firstLine="0"/>
        <w:jc w:val="both"/>
      </w:pPr>
      <w:r w:rsidRPr="00A507B5">
        <w:t xml:space="preserve">Ing. </w:t>
      </w:r>
      <w:hyperlink r:id="rId19" w:history="1">
        <w:r w:rsidRPr="00A507B5">
          <w:t xml:space="preserve">Mário </w:t>
        </w:r>
        <w:proofErr w:type="spellStart"/>
        <w:r w:rsidRPr="00A507B5">
          <w:t>Schwab</w:t>
        </w:r>
        <w:proofErr w:type="spellEnd"/>
        <w:r w:rsidRPr="00A507B5">
          <w:t xml:space="preserve"> </w:t>
        </w:r>
      </w:hyperlink>
      <w:r w:rsidRPr="00A507B5">
        <w:t>– predseda od 24.1.2011</w:t>
      </w:r>
    </w:p>
    <w:p w:rsidR="00C742B4" w:rsidRPr="00A507B5" w:rsidRDefault="00C742B4" w:rsidP="00C742B4">
      <w:pPr>
        <w:numPr>
          <w:ilvl w:val="0"/>
          <w:numId w:val="3"/>
        </w:numPr>
        <w:ind w:left="0" w:firstLine="0"/>
        <w:jc w:val="both"/>
      </w:pPr>
      <w:r w:rsidRPr="00A507B5">
        <w:t xml:space="preserve">Mgr. </w:t>
      </w:r>
      <w:hyperlink r:id="rId20" w:history="1">
        <w:r w:rsidRPr="00A507B5">
          <w:t xml:space="preserve">Branislav Borovský </w:t>
        </w:r>
      </w:hyperlink>
      <w:r w:rsidRPr="00A507B5">
        <w:t>od 24.1.2011</w:t>
      </w:r>
    </w:p>
    <w:p w:rsidR="00C742B4" w:rsidRPr="00A507B5" w:rsidRDefault="00C742B4" w:rsidP="00C742B4">
      <w:pPr>
        <w:numPr>
          <w:ilvl w:val="0"/>
          <w:numId w:val="3"/>
        </w:numPr>
        <w:ind w:left="0" w:firstLine="0"/>
        <w:jc w:val="both"/>
      </w:pPr>
      <w:r w:rsidRPr="00A507B5">
        <w:t xml:space="preserve">Ing. </w:t>
      </w:r>
      <w:hyperlink r:id="rId21" w:history="1">
        <w:r w:rsidRPr="00A507B5">
          <w:t xml:space="preserve">Zoltán </w:t>
        </w:r>
        <w:proofErr w:type="spellStart"/>
        <w:r w:rsidRPr="00A507B5">
          <w:t>Marczell</w:t>
        </w:r>
        <w:proofErr w:type="spellEnd"/>
        <w:r w:rsidRPr="00A507B5">
          <w:t xml:space="preserve"> </w:t>
        </w:r>
      </w:hyperlink>
      <w:r w:rsidRPr="00A507B5">
        <w:t>od 24.1.2011</w:t>
      </w:r>
    </w:p>
    <w:p w:rsidR="00C742B4" w:rsidRPr="00A507B5" w:rsidRDefault="00F943FB" w:rsidP="00C742B4">
      <w:pPr>
        <w:numPr>
          <w:ilvl w:val="0"/>
          <w:numId w:val="3"/>
        </w:numPr>
        <w:ind w:left="0" w:firstLine="0"/>
        <w:jc w:val="both"/>
      </w:pPr>
      <w:hyperlink r:id="rId22" w:history="1">
        <w:r w:rsidR="00C742B4" w:rsidRPr="00A507B5">
          <w:rPr>
            <w:rStyle w:val="ra"/>
            <w:color w:val="000066"/>
          </w:rPr>
          <w:t xml:space="preserve">Jozef Rajtár </w:t>
        </w:r>
      </w:hyperlink>
      <w:r w:rsidR="00C742B4" w:rsidRPr="00A507B5">
        <w:t>od 24.1.2011</w:t>
      </w:r>
    </w:p>
    <w:p w:rsidR="00C742B4" w:rsidRPr="00A507B5" w:rsidRDefault="00C742B4" w:rsidP="00C742B4">
      <w:pPr>
        <w:numPr>
          <w:ilvl w:val="0"/>
          <w:numId w:val="3"/>
        </w:numPr>
        <w:ind w:left="0" w:firstLine="0"/>
        <w:jc w:val="both"/>
      </w:pPr>
      <w:r w:rsidRPr="00A507B5">
        <w:t xml:space="preserve">Ing. Soňa Kolláriková - členka dozornej rady za zamestnancov </w:t>
      </w:r>
    </w:p>
    <w:p w:rsidR="00C742B4" w:rsidRPr="00A507B5" w:rsidRDefault="00C742B4" w:rsidP="00C742B4">
      <w:pPr>
        <w:numPr>
          <w:ilvl w:val="0"/>
          <w:numId w:val="3"/>
        </w:numPr>
        <w:ind w:hanging="720"/>
        <w:jc w:val="both"/>
      </w:pPr>
      <w:r w:rsidRPr="00A507B5">
        <w:t xml:space="preserve">Ing. </w:t>
      </w:r>
      <w:proofErr w:type="spellStart"/>
      <w:r w:rsidRPr="00A507B5">
        <w:t>Beata</w:t>
      </w:r>
      <w:proofErr w:type="spellEnd"/>
      <w:r w:rsidRPr="00A507B5">
        <w:t xml:space="preserve"> </w:t>
      </w:r>
      <w:proofErr w:type="spellStart"/>
      <w:r w:rsidRPr="00A507B5">
        <w:t>Fanová</w:t>
      </w:r>
      <w:proofErr w:type="spellEnd"/>
      <w:r w:rsidRPr="00A507B5">
        <w:t xml:space="preserve"> - členka dozornej rady za zamestnancov </w:t>
      </w:r>
    </w:p>
    <w:p w:rsidR="00C742B4" w:rsidRPr="00A507B5" w:rsidRDefault="00C742B4" w:rsidP="00C742B4">
      <w:pPr>
        <w:jc w:val="both"/>
      </w:pPr>
    </w:p>
    <w:p w:rsidR="00C742B4" w:rsidRPr="00A507B5" w:rsidRDefault="00C742B4" w:rsidP="00C742B4">
      <w:pPr>
        <w:jc w:val="both"/>
      </w:pPr>
    </w:p>
    <w:p w:rsidR="00C742B4" w:rsidRPr="00A507B5" w:rsidRDefault="00C742B4" w:rsidP="00C742B4">
      <w:pPr>
        <w:jc w:val="both"/>
      </w:pPr>
    </w:p>
    <w:p w:rsidR="00C742B4" w:rsidRPr="00A507B5" w:rsidRDefault="00C742B4" w:rsidP="00C742B4">
      <w:pPr>
        <w:pStyle w:val="nzov1"/>
        <w:rPr>
          <w:color w:val="00B050"/>
          <w:lang w:eastAsia="sk-SK"/>
        </w:rPr>
      </w:pPr>
      <w:bookmarkStart w:id="26" w:name="_Toc132424061"/>
      <w:bookmarkStart w:id="27" w:name="_Toc164064138"/>
      <w:bookmarkStart w:id="28" w:name="_Toc289692070"/>
      <w:r w:rsidRPr="00A507B5">
        <w:rPr>
          <w:color w:val="00B050"/>
          <w:lang w:eastAsia="sk-SK"/>
        </w:rPr>
        <w:lastRenderedPageBreak/>
        <w:t>6. Informácie zverejňova</w:t>
      </w:r>
      <w:r>
        <w:rPr>
          <w:color w:val="00B050"/>
          <w:lang w:eastAsia="sk-SK"/>
        </w:rPr>
        <w:t>né v súlade so stanovami SK, a.</w:t>
      </w:r>
      <w:r w:rsidRPr="00A507B5">
        <w:rPr>
          <w:color w:val="00B050"/>
          <w:lang w:eastAsia="sk-SK"/>
        </w:rPr>
        <w:t>s.</w:t>
      </w:r>
      <w:bookmarkEnd w:id="26"/>
      <w:bookmarkEnd w:id="27"/>
      <w:bookmarkEnd w:id="28"/>
    </w:p>
    <w:p w:rsidR="00C742B4" w:rsidRPr="00A507B5" w:rsidRDefault="00C742B4" w:rsidP="00C742B4">
      <w:pPr>
        <w:pStyle w:val="nzov2"/>
        <w:rPr>
          <w:i/>
          <w:color w:val="00B050"/>
          <w:lang w:eastAsia="sk-SK"/>
        </w:rPr>
      </w:pPr>
    </w:p>
    <w:p w:rsidR="00C742B4" w:rsidRPr="00A507B5" w:rsidRDefault="00C742B4" w:rsidP="00C742B4">
      <w:pPr>
        <w:pStyle w:val="nzov2"/>
        <w:rPr>
          <w:i/>
          <w:color w:val="00B050"/>
          <w:lang w:eastAsia="sk-SK"/>
        </w:rPr>
      </w:pPr>
    </w:p>
    <w:p w:rsidR="00C742B4" w:rsidRPr="00A507B5" w:rsidRDefault="00C742B4" w:rsidP="00C742B4">
      <w:pPr>
        <w:pStyle w:val="nzov1"/>
        <w:rPr>
          <w:color w:val="00B050"/>
          <w:szCs w:val="28"/>
        </w:rPr>
      </w:pPr>
      <w:bookmarkStart w:id="29" w:name="_Toc132424062"/>
      <w:bookmarkStart w:id="30" w:name="_Toc289692071"/>
      <w:r w:rsidRPr="00A507B5">
        <w:rPr>
          <w:color w:val="00B050"/>
          <w:szCs w:val="28"/>
        </w:rPr>
        <w:t>6.1. Informácia o prevode majetku</w:t>
      </w:r>
      <w:bookmarkEnd w:id="29"/>
      <w:bookmarkEnd w:id="30"/>
    </w:p>
    <w:p w:rsidR="00C742B4" w:rsidRPr="00A507B5" w:rsidRDefault="00C742B4" w:rsidP="00C742B4">
      <w:pPr>
        <w:ind w:left="360"/>
        <w:jc w:val="both"/>
      </w:pPr>
    </w:p>
    <w:p w:rsidR="00C742B4" w:rsidRPr="00A507B5" w:rsidRDefault="00C742B4" w:rsidP="00C742B4">
      <w:pPr>
        <w:jc w:val="both"/>
      </w:pPr>
      <w:r>
        <w:t>Za hodnotené obdobie SK, a.</w:t>
      </w:r>
      <w:r w:rsidRPr="00A507B5">
        <w:t xml:space="preserve">s. neuskutočnila prevod majetkových účastí, ktorý podľa osobitných právnych predpisov alebo stanov  podlieha predchádzajúcemu súhlasu valného zhromaždenia alebo dozornej rady. </w:t>
      </w:r>
    </w:p>
    <w:p w:rsidR="00C742B4" w:rsidRPr="00A507B5" w:rsidRDefault="00C742B4" w:rsidP="00C742B4">
      <w:pPr>
        <w:jc w:val="both"/>
      </w:pPr>
      <w:r w:rsidRPr="00A507B5">
        <w:t> </w:t>
      </w:r>
    </w:p>
    <w:p w:rsidR="00C742B4" w:rsidRPr="00A507B5" w:rsidRDefault="00C742B4" w:rsidP="00C742B4">
      <w:pPr>
        <w:jc w:val="both"/>
      </w:pPr>
    </w:p>
    <w:p w:rsidR="00C742B4" w:rsidRPr="00A507B5" w:rsidRDefault="00C742B4" w:rsidP="00C742B4">
      <w:pPr>
        <w:pStyle w:val="nzov1"/>
        <w:rPr>
          <w:color w:val="00B050"/>
          <w:szCs w:val="28"/>
        </w:rPr>
      </w:pPr>
      <w:bookmarkStart w:id="31" w:name="_Toc132424063"/>
      <w:bookmarkStart w:id="32" w:name="_Toc289692072"/>
      <w:r w:rsidRPr="00A507B5">
        <w:rPr>
          <w:color w:val="00B050"/>
          <w:szCs w:val="28"/>
        </w:rPr>
        <w:t>6.2. Informácia o úveroch a pôžičkách</w:t>
      </w:r>
      <w:bookmarkEnd w:id="31"/>
      <w:bookmarkEnd w:id="32"/>
    </w:p>
    <w:p w:rsidR="00C742B4" w:rsidRPr="00A507B5" w:rsidRDefault="00C742B4" w:rsidP="00C742B4">
      <w:pPr>
        <w:pStyle w:val="Zkladntext"/>
        <w:jc w:val="both"/>
        <w:rPr>
          <w:i/>
          <w:szCs w:val="22"/>
        </w:rPr>
      </w:pPr>
    </w:p>
    <w:p w:rsidR="00C742B4" w:rsidRPr="00A507B5" w:rsidRDefault="00C742B4" w:rsidP="00C742B4">
      <w:pPr>
        <w:jc w:val="both"/>
      </w:pPr>
      <w:r w:rsidRPr="00A507B5">
        <w:t>Za hodnotené obdobie nebol poskytnutý úver, pôžička, nebol prevedený majetok ani užívaný majetok spoločnosti osobami uvedenými v § 196a Obchodného zákonníka a </w:t>
      </w:r>
      <w:r>
        <w:t>na ktoré sa podľa </w:t>
      </w:r>
      <w:r w:rsidRPr="00A507B5">
        <w:t xml:space="preserve">§ 196a Obchodného zákonníka vyžaduje súhlas dozornej rady spoločnosti. </w:t>
      </w:r>
    </w:p>
    <w:p w:rsidR="00C742B4" w:rsidRPr="00A507B5" w:rsidRDefault="00C742B4" w:rsidP="00C742B4">
      <w:pPr>
        <w:jc w:val="both"/>
      </w:pPr>
    </w:p>
    <w:p w:rsidR="00C742B4" w:rsidRPr="00A507B5" w:rsidRDefault="00C742B4" w:rsidP="00C742B4">
      <w:pPr>
        <w:jc w:val="both"/>
      </w:pPr>
    </w:p>
    <w:p w:rsidR="00C742B4" w:rsidRPr="00A507B5" w:rsidRDefault="00C742B4" w:rsidP="00C742B4">
      <w:pPr>
        <w:pStyle w:val="nzov1"/>
        <w:rPr>
          <w:color w:val="00B050"/>
          <w:szCs w:val="28"/>
        </w:rPr>
      </w:pPr>
      <w:bookmarkStart w:id="33" w:name="_Toc132424064"/>
      <w:bookmarkStart w:id="34" w:name="_Toc289692073"/>
      <w:r w:rsidRPr="00A507B5">
        <w:rPr>
          <w:color w:val="00B050"/>
          <w:szCs w:val="28"/>
        </w:rPr>
        <w:t>6.3. Informácia o odmenách za výkon funkcie v predstavenstve</w:t>
      </w:r>
      <w:r w:rsidRPr="00A507B5">
        <w:rPr>
          <w:color w:val="00B050"/>
          <w:szCs w:val="28"/>
        </w:rPr>
        <w:br/>
        <w:t>a v dozornej rade</w:t>
      </w:r>
      <w:bookmarkEnd w:id="33"/>
      <w:bookmarkEnd w:id="34"/>
    </w:p>
    <w:p w:rsidR="00C742B4" w:rsidRPr="00A507B5" w:rsidRDefault="00C742B4" w:rsidP="00C742B4">
      <w:pPr>
        <w:pStyle w:val="nzov2"/>
        <w:jc w:val="both"/>
        <w:rPr>
          <w:color w:val="00B050"/>
          <w:sz w:val="24"/>
        </w:rPr>
      </w:pPr>
    </w:p>
    <w:p w:rsidR="00C742B4" w:rsidRPr="00A507B5" w:rsidRDefault="00C742B4" w:rsidP="00C742B4">
      <w:pPr>
        <w:jc w:val="both"/>
      </w:pPr>
      <w:r w:rsidRPr="00A507B5">
        <w:t xml:space="preserve">Členom predstavenstva, vrátane predsedu predstavenstva, boli vyplatené v roku 2010 odmeny v celkovej výške </w:t>
      </w:r>
      <w:r w:rsidRPr="00A507B5">
        <w:rPr>
          <w:bCs/>
        </w:rPr>
        <w:t>16 192,07 €.</w:t>
      </w:r>
    </w:p>
    <w:p w:rsidR="00C742B4" w:rsidRPr="00A507B5" w:rsidRDefault="00C742B4" w:rsidP="00C742B4">
      <w:pPr>
        <w:pStyle w:val="Styl1"/>
        <w:rPr>
          <w:szCs w:val="24"/>
        </w:rPr>
      </w:pPr>
      <w:r w:rsidRPr="00A507B5">
        <w:t> </w:t>
      </w:r>
    </w:p>
    <w:p w:rsidR="00C742B4" w:rsidRPr="00A507B5" w:rsidRDefault="00C742B4" w:rsidP="00C742B4">
      <w:pPr>
        <w:jc w:val="both"/>
        <w:rPr>
          <w:b/>
          <w:bCs/>
        </w:rPr>
      </w:pPr>
      <w:r w:rsidRPr="00A507B5">
        <w:t>Členom dozornej rady, ktorí neboli, respektíve nie sú štátnymi</w:t>
      </w:r>
      <w:r>
        <w:t xml:space="preserve"> zamestnancami, boli za rok </w:t>
      </w:r>
      <w:r w:rsidRPr="00A507B5">
        <w:t xml:space="preserve">2010 vyplatené odmeny v celkovej výške </w:t>
      </w:r>
      <w:r w:rsidRPr="00A507B5">
        <w:rPr>
          <w:bCs/>
        </w:rPr>
        <w:t>6 952,63 €.</w:t>
      </w:r>
      <w:r w:rsidRPr="00A507B5">
        <w:t xml:space="preserve"> </w:t>
      </w:r>
    </w:p>
    <w:p w:rsidR="00C742B4" w:rsidRPr="00A507B5" w:rsidRDefault="00C742B4" w:rsidP="00C742B4">
      <w:pPr>
        <w:jc w:val="both"/>
        <w:rPr>
          <w:color w:val="FF00FF"/>
        </w:rPr>
      </w:pPr>
    </w:p>
    <w:p w:rsidR="00C742B4" w:rsidRPr="00A507B5" w:rsidRDefault="00C742B4" w:rsidP="00C742B4">
      <w:pPr>
        <w:jc w:val="both"/>
        <w:rPr>
          <w:color w:val="FF00FF"/>
        </w:rPr>
      </w:pPr>
    </w:p>
    <w:p w:rsidR="00C742B4" w:rsidRPr="00A507B5" w:rsidRDefault="00C742B4" w:rsidP="00C742B4">
      <w:pPr>
        <w:pStyle w:val="nzov1"/>
        <w:rPr>
          <w:color w:val="00B050"/>
          <w:szCs w:val="28"/>
        </w:rPr>
      </w:pPr>
      <w:bookmarkStart w:id="35" w:name="_Toc229286043"/>
      <w:bookmarkStart w:id="36" w:name="_Toc289692074"/>
      <w:r w:rsidRPr="00A507B5">
        <w:rPr>
          <w:color w:val="00B050"/>
          <w:szCs w:val="28"/>
        </w:rPr>
        <w:t>7. Informácie o predpo</w:t>
      </w:r>
      <w:r>
        <w:rPr>
          <w:color w:val="00B050"/>
          <w:szCs w:val="28"/>
        </w:rPr>
        <w:t>kladanom vývoji činnosti SK, a.</w:t>
      </w:r>
      <w:r w:rsidRPr="00A507B5">
        <w:rPr>
          <w:color w:val="00B050"/>
          <w:szCs w:val="28"/>
        </w:rPr>
        <w:t>s.</w:t>
      </w:r>
      <w:bookmarkEnd w:id="35"/>
      <w:bookmarkEnd w:id="36"/>
    </w:p>
    <w:p w:rsidR="00C742B4" w:rsidRPr="00A507B5" w:rsidRDefault="00C742B4" w:rsidP="00C742B4">
      <w:pPr>
        <w:pStyle w:val="nzov1"/>
        <w:jc w:val="both"/>
        <w:rPr>
          <w:szCs w:val="28"/>
          <w:highlight w:val="yellow"/>
        </w:rPr>
      </w:pPr>
    </w:p>
    <w:p w:rsidR="00C742B4" w:rsidRPr="00A507B5" w:rsidRDefault="00C742B4" w:rsidP="00C742B4">
      <w:pPr>
        <w:pStyle w:val="nzov1"/>
        <w:jc w:val="both"/>
        <w:rPr>
          <w:szCs w:val="28"/>
          <w:highlight w:val="yellow"/>
        </w:rPr>
      </w:pPr>
    </w:p>
    <w:p w:rsidR="00C742B4" w:rsidRPr="00A507B5" w:rsidRDefault="00C742B4" w:rsidP="00C742B4">
      <w:pPr>
        <w:jc w:val="both"/>
      </w:pPr>
      <w:r w:rsidRPr="00A507B5">
        <w:t xml:space="preserve">Rok 2011 bude zrejme znamenať vo fungovaní SK, a.s. zásadný posun vpred na poli vymáhania pohľadávok, ktoré sa nachádzajú vo verejnom sektore. Makroekonomické prognózy nabádajú k ešte efektívnejšej správe pohľadávok, ktorá môže byť sprevádzaná aj úsporou na strane výdajov štátneho rozpočtu, pri zracionalizovaní konkrétnych sfér verejnej správy, po sústredení vybraných pohľadávok po lehote splatnosti postúpením do SK, a.s. Tento krok sa javí ako opodstatnený predovšetkým v kontexte s novelou zákona č. 278/1993 </w:t>
      </w:r>
      <w:proofErr w:type="spellStart"/>
      <w:r w:rsidRPr="00A507B5">
        <w:t>Z.z</w:t>
      </w:r>
      <w:proofErr w:type="spellEnd"/>
      <w:r w:rsidRPr="00A507B5">
        <w:t>. o správe majetku štátu v znení neskorších predpisov, kde podľa platnej právnej úpravy účinnej od 1.1.2011 bude možné postúpiť pohľadávku štátu, ktorá vznikla do 1.1. 2008, pretože jej vymáhanie vlastnými prostriedkami správcu je neú</w:t>
      </w:r>
      <w:r>
        <w:t>činné, a to právnickej osobe so </w:t>
      </w:r>
      <w:r w:rsidRPr="00A507B5">
        <w:t xml:space="preserve">100% majetkovou účasťou štátu. </w:t>
      </w:r>
    </w:p>
    <w:p w:rsidR="00C742B4" w:rsidRPr="00A507B5" w:rsidRDefault="00C742B4" w:rsidP="00C742B4">
      <w:pPr>
        <w:jc w:val="both"/>
      </w:pPr>
    </w:p>
    <w:p w:rsidR="00C742B4" w:rsidRPr="00A507B5" w:rsidRDefault="00C742B4" w:rsidP="00C742B4">
      <w:pPr>
        <w:jc w:val="both"/>
      </w:pPr>
    </w:p>
    <w:p w:rsidR="00C742B4" w:rsidRPr="00A507B5" w:rsidRDefault="00C742B4" w:rsidP="00C742B4">
      <w:pPr>
        <w:jc w:val="both"/>
      </w:pPr>
    </w:p>
    <w:p w:rsidR="00C742B4" w:rsidRDefault="00C742B4" w:rsidP="00C742B4"/>
    <w:p w:rsidR="00A75B6F" w:rsidRDefault="00A75B6F"/>
    <w:sectPr w:rsidR="00A75B6F" w:rsidSect="00A75B6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3FB" w:rsidRDefault="00F943FB" w:rsidP="00F943FB">
      <w:r>
        <w:separator/>
      </w:r>
    </w:p>
  </w:endnote>
  <w:endnote w:type="continuationSeparator" w:id="0">
    <w:p w:rsidR="00F943FB" w:rsidRDefault="00F943FB" w:rsidP="00F94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7F" w:rsidRDefault="00F943FB">
    <w:pPr>
      <w:pStyle w:val="Zpat"/>
      <w:framePr w:wrap="around" w:vAnchor="text" w:hAnchor="margin" w:xAlign="center" w:y="1"/>
      <w:rPr>
        <w:rStyle w:val="slostrnky"/>
      </w:rPr>
    </w:pPr>
    <w:r>
      <w:rPr>
        <w:rStyle w:val="slostrnky"/>
      </w:rPr>
      <w:fldChar w:fldCharType="begin"/>
    </w:r>
    <w:r w:rsidR="00C742B4">
      <w:rPr>
        <w:rStyle w:val="slostrnky"/>
      </w:rPr>
      <w:instrText xml:space="preserve">PAGE  </w:instrText>
    </w:r>
    <w:r>
      <w:rPr>
        <w:rStyle w:val="slostrnky"/>
      </w:rPr>
      <w:fldChar w:fldCharType="end"/>
    </w:r>
  </w:p>
  <w:p w:rsidR="00F7117F" w:rsidRDefault="004D776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7F" w:rsidRDefault="004D776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7F" w:rsidRDefault="004D776A">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7F" w:rsidRDefault="00F943FB">
    <w:pPr>
      <w:pStyle w:val="Zpat"/>
      <w:framePr w:wrap="around" w:vAnchor="text" w:hAnchor="margin" w:xAlign="center" w:y="1"/>
      <w:rPr>
        <w:rStyle w:val="slostrnky"/>
      </w:rPr>
    </w:pPr>
    <w:r>
      <w:rPr>
        <w:rStyle w:val="slostrnky"/>
      </w:rPr>
      <w:fldChar w:fldCharType="begin"/>
    </w:r>
    <w:r w:rsidR="00C742B4">
      <w:rPr>
        <w:rStyle w:val="slostrnky"/>
      </w:rPr>
      <w:instrText xml:space="preserve">PAGE  </w:instrText>
    </w:r>
    <w:r>
      <w:rPr>
        <w:rStyle w:val="slostrnky"/>
      </w:rPr>
      <w:fldChar w:fldCharType="end"/>
    </w:r>
  </w:p>
  <w:p w:rsidR="00F7117F" w:rsidRDefault="004D776A">
    <w:pPr>
      <w:pStyle w:val="Zpa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7F" w:rsidRDefault="00F943FB">
    <w:pPr>
      <w:pStyle w:val="Zpat"/>
      <w:framePr w:wrap="around" w:vAnchor="text" w:hAnchor="margin" w:xAlign="center" w:y="1"/>
      <w:rPr>
        <w:rStyle w:val="slostrnky"/>
      </w:rPr>
    </w:pPr>
    <w:r>
      <w:rPr>
        <w:rStyle w:val="slostrnky"/>
      </w:rPr>
      <w:fldChar w:fldCharType="begin"/>
    </w:r>
    <w:r w:rsidR="00C742B4">
      <w:rPr>
        <w:rStyle w:val="slostrnky"/>
      </w:rPr>
      <w:instrText xml:space="preserve">PAGE  </w:instrText>
    </w:r>
    <w:r>
      <w:rPr>
        <w:rStyle w:val="slostrnky"/>
      </w:rPr>
      <w:fldChar w:fldCharType="separate"/>
    </w:r>
    <w:r w:rsidR="004D776A">
      <w:rPr>
        <w:rStyle w:val="slostrnky"/>
        <w:noProof/>
      </w:rPr>
      <w:t>11</w:t>
    </w:r>
    <w:r>
      <w:rPr>
        <w:rStyle w:val="slostrnky"/>
      </w:rPr>
      <w:fldChar w:fldCharType="end"/>
    </w:r>
  </w:p>
  <w:p w:rsidR="00F7117F" w:rsidRDefault="004D776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3FB" w:rsidRDefault="00F943FB" w:rsidP="00F943FB">
      <w:r>
        <w:separator/>
      </w:r>
    </w:p>
  </w:footnote>
  <w:footnote w:type="continuationSeparator" w:id="0">
    <w:p w:rsidR="00F943FB" w:rsidRDefault="00F943FB" w:rsidP="00F94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7F" w:rsidRDefault="004D776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7F" w:rsidRDefault="004D776A">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7F" w:rsidRDefault="004D776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E177B"/>
    <w:multiLevelType w:val="hybridMultilevel"/>
    <w:tmpl w:val="8932B766"/>
    <w:lvl w:ilvl="0" w:tplc="041B0001">
      <w:start w:val="631"/>
      <w:numFmt w:val="bullet"/>
      <w:lvlText w:val="-"/>
      <w:lvlJc w:val="left"/>
      <w:pPr>
        <w:tabs>
          <w:tab w:val="num" w:pos="1068"/>
        </w:tabs>
        <w:ind w:left="1068" w:hanging="360"/>
      </w:pPr>
      <w:rPr>
        <w:rFonts w:ascii="Times New Roman" w:eastAsia="Times New Roman" w:hAnsi="Times New Roman" w:hint="default"/>
      </w:rPr>
    </w:lvl>
    <w:lvl w:ilvl="1" w:tplc="041B0003" w:tentative="1">
      <w:start w:val="1"/>
      <w:numFmt w:val="bullet"/>
      <w:lvlText w:val="o"/>
      <w:lvlJc w:val="left"/>
      <w:pPr>
        <w:tabs>
          <w:tab w:val="num" w:pos="1788"/>
        </w:tabs>
        <w:ind w:left="1788" w:hanging="360"/>
      </w:pPr>
      <w:rPr>
        <w:rFonts w:ascii="Courier New" w:hAnsi="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1">
    <w:nsid w:val="6AC95F47"/>
    <w:multiLevelType w:val="hybridMultilevel"/>
    <w:tmpl w:val="F81614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7EA01CA9"/>
    <w:multiLevelType w:val="hybridMultilevel"/>
    <w:tmpl w:val="82CC47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rsids>
    <w:rsidRoot w:val="00C742B4"/>
    <w:rsid w:val="002F010D"/>
    <w:rsid w:val="004D776A"/>
    <w:rsid w:val="0053498D"/>
    <w:rsid w:val="006828C4"/>
    <w:rsid w:val="007C6289"/>
    <w:rsid w:val="00802FA2"/>
    <w:rsid w:val="008A7B1E"/>
    <w:rsid w:val="00A75B6F"/>
    <w:rsid w:val="00C742B4"/>
    <w:rsid w:val="00E35DEF"/>
    <w:rsid w:val="00EB4AC8"/>
    <w:rsid w:val="00F943F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42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742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C742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742B4"/>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rsid w:val="00C742B4"/>
    <w:rPr>
      <w:rFonts w:asciiTheme="majorHAnsi" w:eastAsiaTheme="majorEastAsia" w:hAnsiTheme="majorHAnsi" w:cstheme="majorBidi"/>
      <w:b/>
      <w:bCs/>
      <w:color w:val="4F81BD" w:themeColor="accent1"/>
      <w:sz w:val="26"/>
      <w:szCs w:val="26"/>
      <w:lang w:eastAsia="cs-CZ"/>
    </w:rPr>
  </w:style>
  <w:style w:type="paragraph" w:styleId="Zpat">
    <w:name w:val="footer"/>
    <w:basedOn w:val="Normln"/>
    <w:link w:val="ZpatChar"/>
    <w:rsid w:val="00C742B4"/>
    <w:pPr>
      <w:tabs>
        <w:tab w:val="center" w:pos="4703"/>
        <w:tab w:val="right" w:pos="9406"/>
      </w:tabs>
    </w:pPr>
  </w:style>
  <w:style w:type="character" w:customStyle="1" w:styleId="ZpatChar">
    <w:name w:val="Zápatí Char"/>
    <w:basedOn w:val="Standardnpsmoodstavce"/>
    <w:link w:val="Zpat"/>
    <w:rsid w:val="00C742B4"/>
    <w:rPr>
      <w:rFonts w:ascii="Times New Roman" w:eastAsia="Times New Roman" w:hAnsi="Times New Roman" w:cs="Times New Roman"/>
      <w:sz w:val="24"/>
      <w:szCs w:val="24"/>
      <w:lang w:eastAsia="cs-CZ"/>
    </w:rPr>
  </w:style>
  <w:style w:type="paragraph" w:styleId="Nzev">
    <w:name w:val="Title"/>
    <w:basedOn w:val="Normln"/>
    <w:link w:val="NzevChar"/>
    <w:qFormat/>
    <w:rsid w:val="00C742B4"/>
    <w:pPr>
      <w:jc w:val="center"/>
    </w:pPr>
    <w:rPr>
      <w:b/>
      <w:szCs w:val="20"/>
      <w:lang w:eastAsia="sk-SK"/>
    </w:rPr>
  </w:style>
  <w:style w:type="character" w:customStyle="1" w:styleId="NzevChar">
    <w:name w:val="Název Char"/>
    <w:basedOn w:val="Standardnpsmoodstavce"/>
    <w:link w:val="Nzev"/>
    <w:rsid w:val="00C742B4"/>
    <w:rPr>
      <w:rFonts w:ascii="Times New Roman" w:eastAsia="Times New Roman" w:hAnsi="Times New Roman" w:cs="Times New Roman"/>
      <w:b/>
      <w:sz w:val="24"/>
      <w:szCs w:val="20"/>
      <w:lang w:eastAsia="sk-SK"/>
    </w:rPr>
  </w:style>
  <w:style w:type="paragraph" w:styleId="Zkladntext3">
    <w:name w:val="Body Text 3"/>
    <w:basedOn w:val="Normln"/>
    <w:link w:val="Zkladntext3Char"/>
    <w:rsid w:val="00C742B4"/>
    <w:pPr>
      <w:spacing w:after="120"/>
    </w:pPr>
    <w:rPr>
      <w:sz w:val="16"/>
      <w:szCs w:val="16"/>
    </w:rPr>
  </w:style>
  <w:style w:type="character" w:customStyle="1" w:styleId="Zkladntext3Char">
    <w:name w:val="Základní text 3 Char"/>
    <w:basedOn w:val="Standardnpsmoodstavce"/>
    <w:link w:val="Zkladntext3"/>
    <w:rsid w:val="00C742B4"/>
    <w:rPr>
      <w:rFonts w:ascii="Times New Roman" w:eastAsia="Times New Roman" w:hAnsi="Times New Roman" w:cs="Times New Roman"/>
      <w:sz w:val="16"/>
      <w:szCs w:val="16"/>
      <w:lang w:eastAsia="cs-CZ"/>
    </w:rPr>
  </w:style>
  <w:style w:type="paragraph" w:styleId="Zkladntext">
    <w:name w:val="Body Text"/>
    <w:basedOn w:val="Normln"/>
    <w:link w:val="ZkladntextChar"/>
    <w:uiPriority w:val="99"/>
    <w:semiHidden/>
    <w:unhideWhenUsed/>
    <w:rsid w:val="00C742B4"/>
    <w:pPr>
      <w:spacing w:after="120"/>
    </w:pPr>
  </w:style>
  <w:style w:type="character" w:customStyle="1" w:styleId="ZkladntextChar">
    <w:name w:val="Základní text Char"/>
    <w:basedOn w:val="Standardnpsmoodstavce"/>
    <w:link w:val="Zkladntext"/>
    <w:uiPriority w:val="99"/>
    <w:semiHidden/>
    <w:rsid w:val="00C742B4"/>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C742B4"/>
    <w:pPr>
      <w:spacing w:after="120"/>
      <w:ind w:left="283"/>
    </w:pPr>
  </w:style>
  <w:style w:type="character" w:customStyle="1" w:styleId="ZkladntextodsazenChar">
    <w:name w:val="Základní text odsazený Char"/>
    <w:basedOn w:val="Standardnpsmoodstavce"/>
    <w:link w:val="Zkladntextodsazen"/>
    <w:uiPriority w:val="99"/>
    <w:semiHidden/>
    <w:rsid w:val="00C742B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rsid w:val="00C742B4"/>
    <w:pPr>
      <w:tabs>
        <w:tab w:val="right" w:leader="dot" w:pos="9061"/>
      </w:tabs>
      <w:spacing w:line="360" w:lineRule="auto"/>
      <w:ind w:left="540" w:hanging="540"/>
      <w:jc w:val="both"/>
    </w:pPr>
    <w:rPr>
      <w:rFonts w:ascii="Arial" w:hAnsi="Arial" w:cs="Arial"/>
    </w:rPr>
  </w:style>
  <w:style w:type="character" w:styleId="Hypertextovodkaz">
    <w:name w:val="Hyperlink"/>
    <w:basedOn w:val="Standardnpsmoodstavce"/>
    <w:uiPriority w:val="99"/>
    <w:rsid w:val="00C742B4"/>
    <w:rPr>
      <w:rFonts w:cs="Times New Roman"/>
      <w:color w:val="0000FF"/>
      <w:u w:val="single"/>
    </w:rPr>
  </w:style>
  <w:style w:type="paragraph" w:customStyle="1" w:styleId="nzov1">
    <w:name w:val="názov 1"/>
    <w:basedOn w:val="Nadpis1"/>
    <w:rsid w:val="00C742B4"/>
    <w:pPr>
      <w:keepLines w:val="0"/>
      <w:spacing w:before="0"/>
      <w:jc w:val="center"/>
    </w:pPr>
    <w:rPr>
      <w:rFonts w:ascii="Times New Roman" w:eastAsia="Times New Roman" w:hAnsi="Times New Roman" w:cs="Times New Roman"/>
      <w:color w:val="339966"/>
      <w:szCs w:val="24"/>
    </w:rPr>
  </w:style>
  <w:style w:type="paragraph" w:customStyle="1" w:styleId="nzov2">
    <w:name w:val="názov 2"/>
    <w:basedOn w:val="Normln"/>
    <w:rsid w:val="00C742B4"/>
    <w:pPr>
      <w:ind w:left="426" w:hanging="426"/>
      <w:jc w:val="center"/>
    </w:pPr>
    <w:rPr>
      <w:b/>
      <w:bCs/>
      <w:color w:val="000080"/>
      <w:sz w:val="28"/>
    </w:rPr>
  </w:style>
  <w:style w:type="character" w:styleId="slostrnky">
    <w:name w:val="page number"/>
    <w:basedOn w:val="Standardnpsmoodstavce"/>
    <w:uiPriority w:val="99"/>
    <w:rsid w:val="00C742B4"/>
    <w:rPr>
      <w:rFonts w:cs="Times New Roman"/>
    </w:rPr>
  </w:style>
  <w:style w:type="paragraph" w:customStyle="1" w:styleId="Styl1">
    <w:name w:val="Styl1"/>
    <w:basedOn w:val="Normln"/>
    <w:rsid w:val="00C742B4"/>
    <w:pPr>
      <w:jc w:val="both"/>
    </w:pPr>
    <w:rPr>
      <w:szCs w:val="20"/>
      <w:lang w:eastAsia="sk-SK"/>
    </w:rPr>
  </w:style>
  <w:style w:type="paragraph" w:styleId="Zhlav">
    <w:name w:val="header"/>
    <w:basedOn w:val="Normln"/>
    <w:link w:val="ZhlavChar"/>
    <w:rsid w:val="00C742B4"/>
    <w:pPr>
      <w:tabs>
        <w:tab w:val="center" w:pos="4536"/>
        <w:tab w:val="right" w:pos="9072"/>
      </w:tabs>
    </w:pPr>
  </w:style>
  <w:style w:type="character" w:customStyle="1" w:styleId="ZhlavChar">
    <w:name w:val="Záhlaví Char"/>
    <w:basedOn w:val="Standardnpsmoodstavce"/>
    <w:link w:val="Zhlav"/>
    <w:rsid w:val="00C742B4"/>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C742B4"/>
    <w:rPr>
      <w:b/>
      <w:bCs/>
      <w:i w:val="0"/>
      <w:iCs w:val="0"/>
    </w:rPr>
  </w:style>
  <w:style w:type="character" w:customStyle="1" w:styleId="ra">
    <w:name w:val="ra"/>
    <w:basedOn w:val="Standardnpsmoodstavce"/>
    <w:rsid w:val="00C742B4"/>
  </w:style>
  <w:style w:type="table" w:styleId="Mkatabulky">
    <w:name w:val="Table Grid"/>
    <w:basedOn w:val="Normlntabulka"/>
    <w:rsid w:val="00C742B4"/>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C742B4"/>
    <w:rPr>
      <w:rFonts w:ascii="Tahoma" w:hAnsi="Tahoma" w:cs="Tahoma"/>
      <w:sz w:val="16"/>
      <w:szCs w:val="16"/>
    </w:rPr>
  </w:style>
  <w:style w:type="character" w:customStyle="1" w:styleId="TextbublinyChar">
    <w:name w:val="Text bubliny Char"/>
    <w:basedOn w:val="Standardnpsmoodstavce"/>
    <w:link w:val="Textbubliny"/>
    <w:uiPriority w:val="99"/>
    <w:semiHidden/>
    <w:rsid w:val="00C742B4"/>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yperlink" Target="http://www.orsr.sk/hladaj_osoba.asp?PR=Filko&amp;MENO=Martin&amp;SID=0&amp;T=f0&amp;R=0" TargetMode="External"/><Relationship Id="rId3" Type="http://schemas.openxmlformats.org/officeDocument/2006/relationships/settings" Target="settings.xml"/><Relationship Id="rId21" Type="http://schemas.openxmlformats.org/officeDocument/2006/relationships/hyperlink" Target="http://www.orsr.sk/hladaj_osoba.asp?PR=Marczell&amp;MENO=Zolt&#225;n&amp;SID=0&amp;T=f0&amp;R=0"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orsr.sk/hladaj_osoba.asp?PR=Borovsk&#253;&amp;MENO=Branislav&amp;SID=0&amp;T=f0&amp;R=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orsr.sk/hladaj_osoba.asp?PR=Schwab&amp;MENO=M&#225;rio&amp;SID=0&amp;T=f0&amp;R=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orsr.sk/hladaj_osoba.asp?PR=Rajt&#225;r&amp;MENO=Jozef&amp;SID=0&amp;T=f0&amp;R=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hart>
    <c:title>
      <c:layout/>
    </c:title>
    <c:view3D>
      <c:rotX val="30"/>
      <c:perspective val="30"/>
    </c:view3D>
    <c:plotArea>
      <c:layout>
        <c:manualLayout>
          <c:layoutTarget val="inner"/>
          <c:xMode val="edge"/>
          <c:yMode val="edge"/>
          <c:x val="0"/>
          <c:y val="0.21021841019872636"/>
          <c:w val="0.59490740740740877"/>
          <c:h val="0.78978158980127255"/>
        </c:manualLayout>
      </c:layout>
      <c:pie3DChart>
        <c:varyColors val="1"/>
        <c:ser>
          <c:idx val="0"/>
          <c:order val="0"/>
          <c:tx>
            <c:strRef>
              <c:f>List1!$B$1</c:f>
              <c:strCache>
                <c:ptCount val="1"/>
                <c:pt idx="0">
                  <c:v>Suma v tis.EUR</c:v>
                </c:pt>
              </c:strCache>
            </c:strRef>
          </c:tx>
          <c:explosion val="25"/>
          <c:cat>
            <c:strRef>
              <c:f>List1!$A$2:$A$8</c:f>
              <c:strCache>
                <c:ptCount val="7"/>
                <c:pt idx="0">
                  <c:v>príjmy z postúpenia pohľadávok </c:v>
                </c:pt>
                <c:pt idx="1">
                  <c:v>príjmy z ostatných pohľadávok </c:v>
                </c:pt>
                <c:pt idx="2">
                  <c:v>príjmy z daňových pohľadávok </c:v>
                </c:pt>
                <c:pt idx="3">
                  <c:v>príjmy od dlžníkov zo spoločnosti VERITEĽ, a. s.</c:v>
                </c:pt>
                <c:pt idx="4">
                  <c:v>príjmy z colných pohľadávok  </c:v>
                </c:pt>
                <c:pt idx="5">
                  <c:v>príjmy z pohľadávok zo Sociálnej poisťovne </c:v>
                </c:pt>
                <c:pt idx="6">
                  <c:v>príkmy z pohľadávok prevzatých z policajného zboru </c:v>
                </c:pt>
              </c:strCache>
            </c:strRef>
          </c:cat>
          <c:val>
            <c:numRef>
              <c:f>List1!$B$2:$B$8</c:f>
              <c:numCache>
                <c:formatCode>General</c:formatCode>
                <c:ptCount val="7"/>
                <c:pt idx="0">
                  <c:v>439</c:v>
                </c:pt>
                <c:pt idx="1">
                  <c:v>1689</c:v>
                </c:pt>
                <c:pt idx="2">
                  <c:v>5684</c:v>
                </c:pt>
                <c:pt idx="3">
                  <c:v>1377</c:v>
                </c:pt>
                <c:pt idx="4">
                  <c:v>36</c:v>
                </c:pt>
                <c:pt idx="5">
                  <c:v>2468</c:v>
                </c:pt>
                <c:pt idx="6">
                  <c:v>46</c:v>
                </c:pt>
              </c:numCache>
            </c:numRef>
          </c:val>
        </c:ser>
      </c:pie3DChart>
    </c:plotArea>
    <c:legend>
      <c:legendPos val="r"/>
      <c:layout/>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3643</Words>
  <Characters>20770</Characters>
  <Application>Microsoft Office Word</Application>
  <DocSecurity>0</DocSecurity>
  <Lines>173</Lines>
  <Paragraphs>48</Paragraphs>
  <ScaleCrop>false</ScaleCrop>
  <Company>Slovenská Konsolidačná, a.s.</Company>
  <LinksUpToDate>false</LinksUpToDate>
  <CharactersWithSpaces>24365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nkrajcovicova</dc:creator>
  <cp:keywords/>
  <dc:description/>
  <cp:lastModifiedBy>nkrajcovicova</cp:lastModifiedBy>
  <cp:revision>2</cp:revision>
  <dcterms:created xsi:type="dcterms:W3CDTF">2011-06-06T08:44:00Z</dcterms:created>
  <dcterms:modified xsi:type="dcterms:W3CDTF">2011-06-20T08:37:00Z</dcterms:modified>
</cp:coreProperties>
</file>